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5" w:name="_GoBack"/>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 xml:space="preserve">WG4 Meeting # </w:t>
      </w:r>
      <w:r>
        <w:rPr>
          <w:rFonts w:hint="eastAsia" w:ascii="Arial" w:hAnsi="Arial" w:eastAsia="宋体" w:cs="Times New Roman"/>
          <w:b/>
          <w:sz w:val="24"/>
          <w:szCs w:val="20"/>
          <w:lang w:val="en-US" w:eastAsia="zh-CN"/>
        </w:rPr>
        <w:t>10</w:t>
      </w:r>
      <w:r>
        <w:rPr>
          <w:rFonts w:hint="eastAsia" w:ascii="Arial" w:hAnsi="Arial" w:cs="Times New Roman"/>
          <w:b/>
          <w:sz w:val="24"/>
          <w:szCs w:val="20"/>
          <w:lang w:val="en-US" w:eastAsia="zh-CN"/>
        </w:rPr>
        <w:t>5</w:t>
      </w:r>
      <w:r>
        <w:rPr>
          <w:rFonts w:ascii="Arial" w:hAnsi="Arial" w:eastAsia="宋体" w:cs="Times New Roman"/>
          <w:b/>
          <w:sz w:val="24"/>
          <w:szCs w:val="20"/>
          <w:lang w:val="en-GB"/>
        </w:rPr>
        <w:t xml:space="preserv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R4-2219363</w:t>
      </w:r>
    </w:p>
    <w:bookmarkEnd w:id="0"/>
    <w:bookmarkEnd w:id="1"/>
    <w:p>
      <w:pPr>
        <w:rPr>
          <w:rFonts w:ascii="Arial" w:hAnsi="Arial" w:eastAsia="宋体" w:cs="Times New Roman"/>
          <w:b/>
          <w:bCs/>
          <w:sz w:val="24"/>
          <w:szCs w:val="20"/>
          <w:lang w:val="en-GB" w:eastAsia="ja-JP"/>
        </w:rPr>
      </w:pPr>
      <w:r>
        <w:rPr>
          <w:rFonts w:ascii="Arial" w:hAnsi="Arial" w:eastAsia="宋体" w:cs="Arial"/>
          <w:b/>
          <w:sz w:val="24"/>
          <w:szCs w:val="24"/>
          <w:lang w:eastAsia="zh-CN"/>
        </w:rPr>
        <w:t>Toulouse, France</w:t>
      </w:r>
      <w:r>
        <w:rPr>
          <w:rFonts w:hint="eastAsia" w:ascii="Arial" w:hAnsi="Arial" w:cs="Arial"/>
          <w:b/>
          <w:sz w:val="24"/>
          <w:szCs w:val="24"/>
        </w:rPr>
        <w:t>, 1</w:t>
      </w:r>
      <w:r>
        <w:rPr>
          <w:rFonts w:hint="eastAsia" w:ascii="Arial" w:hAnsi="Arial" w:cs="Arial"/>
          <w:b/>
          <w:sz w:val="24"/>
          <w:szCs w:val="24"/>
          <w:lang w:val="en-US" w:eastAsia="zh-CN"/>
        </w:rPr>
        <w:t>4</w:t>
      </w:r>
      <w:r>
        <w:rPr>
          <w:rFonts w:hint="eastAsia" w:ascii="Arial" w:hAnsi="Arial" w:cs="Arial"/>
          <w:b/>
          <w:sz w:val="24"/>
          <w:szCs w:val="24"/>
        </w:rPr>
        <w:t xml:space="preserve">th - </w:t>
      </w:r>
      <w:r>
        <w:rPr>
          <w:rFonts w:hint="eastAsia" w:ascii="Arial" w:hAnsi="Arial" w:cs="Arial"/>
          <w:b/>
          <w:sz w:val="24"/>
          <w:szCs w:val="24"/>
          <w:lang w:val="en-US" w:eastAsia="zh-CN"/>
        </w:rPr>
        <w:t>18</w:t>
      </w:r>
      <w:r>
        <w:rPr>
          <w:rFonts w:hint="eastAsia" w:ascii="Arial" w:hAnsi="Arial" w:cs="Arial"/>
          <w:b/>
          <w:sz w:val="24"/>
          <w:szCs w:val="24"/>
        </w:rPr>
        <w:t xml:space="preserve">th </w:t>
      </w:r>
      <w:r>
        <w:rPr>
          <w:rFonts w:hint="eastAsia" w:ascii="Arial" w:hAnsi="Arial" w:cs="Arial"/>
          <w:b/>
          <w:sz w:val="24"/>
          <w:szCs w:val="24"/>
          <w:lang w:val="en-US" w:eastAsia="zh-CN"/>
        </w:rPr>
        <w:t>Nov</w:t>
      </w:r>
      <w:r>
        <w:rPr>
          <w:rFonts w:hint="eastAsia" w:ascii="Arial" w:hAnsi="Arial" w:cs="Arial"/>
          <w:b/>
          <w:sz w:val="24"/>
          <w:szCs w:val="24"/>
        </w:rPr>
        <w:t>, 2022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9.5.2</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3" w:name="OLE_LINK1"/>
      <w:r>
        <w:rPr>
          <w:rFonts w:hint="eastAsia" w:ascii="Arial" w:hAnsi="Arial" w:eastAsia="宋体" w:cs="Arial"/>
          <w:b/>
          <w:sz w:val="24"/>
          <w:szCs w:val="24"/>
          <w:highlight w:val="none"/>
          <w:lang w:val="en-US" w:eastAsia="zh-CN"/>
        </w:rPr>
        <w:t>Further discussion on s</w:t>
      </w:r>
      <w:r>
        <w:rPr>
          <w:rFonts w:hint="eastAsia" w:ascii="Arial" w:hAnsi="Arial" w:eastAsia="MS Mincho" w:cs="Arial"/>
          <w:b/>
          <w:sz w:val="24"/>
          <w:szCs w:val="24"/>
          <w:highlight w:val="none"/>
          <w:lang w:eastAsia="en-US"/>
        </w:rPr>
        <w:t>ystem parameters</w:t>
      </w:r>
      <w:bookmarkEnd w:id="3"/>
      <w:r>
        <w:rPr>
          <w:rFonts w:hint="eastAsia" w:ascii="Arial" w:hAnsi="Arial" w:eastAsia="宋体" w:cs="Arial"/>
          <w:b/>
          <w:sz w:val="24"/>
          <w:szCs w:val="24"/>
          <w:highlight w:val="none"/>
          <w:lang w:val="en-US" w:eastAsia="zh-CN"/>
        </w:rPr>
        <w:t xml:space="preserve"> for IoT over NTN</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4" w:name="DocumentFor"/>
      <w:bookmarkEnd w:id="4"/>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In the last RAN4 meeting, we have reached good progress on the system parameters for IoT over NTN, however there are still some open issues left for further discussions. In this contribution, we want to share some further analysis for it..</w:t>
      </w:r>
    </w:p>
    <w:p>
      <w:pPr>
        <w:rPr>
          <w:rFonts w:asciiTheme="minorHAnsi" w:hAnsiTheme="minorHAnsi" w:cstheme="minorHAnsi"/>
          <w:lang w:val="en-US" w:eastAsia="zh-CN"/>
        </w:rPr>
      </w:pPr>
      <w:r>
        <w:rPr>
          <w:rFonts w:asciiTheme="minorHAnsi" w:hAnsiTheme="minorHAnsi" w:cstheme="minorHAnsi"/>
          <w:lang w:val="en-US" w:eastAsia="zh-CN"/>
        </w:rPr>
        <w:t>The following way forward is proposed:</w:t>
      </w:r>
    </w:p>
    <w:p>
      <w:pPr>
        <w:pStyle w:val="37"/>
        <w:numPr>
          <w:ilvl w:val="0"/>
          <w:numId w:val="2"/>
        </w:numPr>
        <w:rPr>
          <w:rFonts w:asciiTheme="minorHAnsi" w:hAnsiTheme="minorHAnsi" w:cstheme="minorHAnsi"/>
          <w:lang w:val="en-US" w:eastAsia="zh-CN"/>
        </w:rPr>
      </w:pPr>
      <w:r>
        <w:rPr>
          <w:rFonts w:asciiTheme="minorHAnsi" w:hAnsiTheme="minorHAnsi" w:cstheme="minorHAnsi"/>
          <w:b/>
          <w:bCs/>
          <w:i/>
          <w:lang w:val="en-US" w:eastAsia="zh-CN"/>
        </w:rPr>
        <w:t>SAN F</w:t>
      </w:r>
      <w:r>
        <w:rPr>
          <w:rFonts w:asciiTheme="minorHAnsi" w:hAnsiTheme="minorHAnsi" w:cstheme="minorHAnsi"/>
          <w:b/>
          <w:bCs/>
          <w:i/>
          <w:vertAlign w:val="subscript"/>
          <w:lang w:val="en-US" w:eastAsia="zh-CN"/>
        </w:rPr>
        <w:t>offset</w:t>
      </w:r>
      <w:r>
        <w:rPr>
          <w:rFonts w:asciiTheme="minorHAnsi" w:hAnsiTheme="minorHAnsi" w:cstheme="minorHAnsi"/>
          <w:b/>
          <w:bCs/>
          <w:i/>
          <w:lang w:val="en-US" w:eastAsia="zh-CN"/>
        </w:rPr>
        <w:t>:</w:t>
      </w:r>
      <w:r>
        <w:rPr>
          <w:rFonts w:asciiTheme="minorHAnsi" w:hAnsiTheme="minorHAnsi" w:cstheme="minorHAnsi"/>
          <w:i/>
          <w:lang w:val="en-US" w:eastAsia="zh-CN"/>
        </w:rPr>
        <w:t xml:space="preserve"> Agree on reuse of F</w:t>
      </w:r>
      <w:r>
        <w:rPr>
          <w:rFonts w:asciiTheme="minorHAnsi" w:hAnsiTheme="minorHAnsi" w:cstheme="minorHAnsi"/>
          <w:i/>
          <w:vertAlign w:val="subscript"/>
          <w:lang w:val="en-US" w:eastAsia="zh-CN"/>
        </w:rPr>
        <w:t>offset</w:t>
      </w:r>
      <w:r>
        <w:rPr>
          <w:rFonts w:asciiTheme="minorHAnsi" w:hAnsiTheme="minorHAnsi" w:cstheme="minorHAnsi"/>
          <w:i/>
          <w:lang w:val="en-US" w:eastAsia="zh-CN"/>
        </w:rPr>
        <w:t xml:space="preserve"> for NTN operation as baseline way forward. Further improvements can be discussed, but if not agreeable next meeting they would not be covered in this WI.</w:t>
      </w:r>
    </w:p>
    <w:p>
      <w:pPr>
        <w:pStyle w:val="37"/>
        <w:numPr>
          <w:ilvl w:val="0"/>
          <w:numId w:val="2"/>
        </w:numPr>
        <w:rPr>
          <w:rFonts w:asciiTheme="minorHAnsi" w:hAnsiTheme="minorHAnsi" w:cstheme="minorHAnsi"/>
          <w:lang w:val="en-US" w:eastAsia="zh-CN"/>
        </w:rPr>
      </w:pPr>
      <w:r>
        <w:rPr>
          <w:rFonts w:asciiTheme="minorHAnsi" w:hAnsiTheme="minorHAnsi" w:eastAsiaTheme="minorEastAsia" w:cstheme="minorHAnsi"/>
          <w:b/>
          <w:bCs/>
          <w:i/>
          <w:lang w:val="en-US" w:eastAsia="zh-CN"/>
        </w:rPr>
        <w:t>MDL non-anchor values:</w:t>
      </w:r>
      <w:r>
        <w:rPr>
          <w:rFonts w:asciiTheme="minorHAnsi" w:hAnsiTheme="minorHAnsi" w:eastAsiaTheme="minorEastAsia" w:cstheme="minorHAnsi"/>
          <w:i/>
          <w:lang w:val="en-US" w:eastAsia="zh-CN"/>
        </w:rPr>
        <w:t xml:space="preserve"> Further discuss:</w:t>
      </w:r>
    </w:p>
    <w:p>
      <w:pPr>
        <w:pStyle w:val="37"/>
        <w:numPr>
          <w:ilvl w:val="1"/>
          <w:numId w:val="2"/>
        </w:numPr>
        <w:rPr>
          <w:rFonts w:asciiTheme="minorHAnsi" w:hAnsiTheme="minorHAnsi" w:cstheme="minorHAnsi"/>
          <w:iCs/>
          <w:lang w:val="en-US" w:eastAsia="zh-CN"/>
        </w:rPr>
      </w:pPr>
      <w:r>
        <w:rPr>
          <w:rFonts w:asciiTheme="minorHAnsi" w:hAnsiTheme="minorHAnsi" w:eastAsiaTheme="minorEastAsia" w:cstheme="minorHAnsi"/>
          <w:iCs/>
          <w:lang w:val="en-US" w:eastAsia="zh-CN"/>
        </w:rPr>
        <w:t>Option 1: Reuse existing MDL values for non-anchor carriers</w:t>
      </w:r>
    </w:p>
    <w:p>
      <w:pPr>
        <w:pStyle w:val="37"/>
        <w:numPr>
          <w:ilvl w:val="1"/>
          <w:numId w:val="2"/>
        </w:numPr>
        <w:rPr>
          <w:rFonts w:asciiTheme="minorHAnsi" w:hAnsiTheme="minorHAnsi" w:cstheme="minorHAnsi"/>
          <w:iCs/>
          <w:lang w:val="en-US" w:eastAsia="zh-CN"/>
        </w:rPr>
      </w:pPr>
      <w:r>
        <w:rPr>
          <w:rFonts w:asciiTheme="minorHAnsi" w:hAnsiTheme="minorHAnsi" w:eastAsiaTheme="minorEastAsia" w:cstheme="minorHAnsi"/>
          <w:iCs/>
          <w:lang w:val="en-US" w:eastAsia="zh-CN"/>
        </w:rPr>
        <w:t>Option 2: Non-anchor carrier M-DL enhancement where limited to a general shift of MDL+0.5 for non-anchor carriers</w:t>
      </w:r>
    </w:p>
    <w:p>
      <w:pPr>
        <w:ind w:left="1080"/>
        <w:rPr>
          <w:rFonts w:asciiTheme="minorHAnsi" w:hAnsiTheme="minorHAnsi" w:cstheme="minorHAnsi"/>
          <w:iCs/>
          <w:lang w:val="en-US" w:eastAsia="zh-CN"/>
        </w:rPr>
      </w:pPr>
      <w:r>
        <w:rPr>
          <w:rFonts w:asciiTheme="minorHAnsi" w:hAnsiTheme="minorHAnsi" w:eastAsiaTheme="minorEastAsia" w:cstheme="minorHAnsi"/>
          <w:iCs/>
          <w:lang w:val="en-US" w:eastAsia="zh-CN"/>
        </w:rPr>
        <w:t xml:space="preserve">Rule out Option 3 (explicit addition of new offset values) as it would seem to require new signalling from eNB to UE. </w:t>
      </w:r>
    </w:p>
    <w:p>
      <w:pPr>
        <w:pStyle w:val="37"/>
        <w:numPr>
          <w:ilvl w:val="0"/>
          <w:numId w:val="2"/>
        </w:numPr>
        <w:rPr>
          <w:rFonts w:asciiTheme="minorHAnsi" w:hAnsiTheme="minorHAnsi" w:cstheme="minorHAnsi"/>
          <w:lang w:val="en-US" w:eastAsia="zh-CN"/>
        </w:rPr>
      </w:pPr>
      <w:r>
        <w:rPr>
          <w:rFonts w:asciiTheme="minorHAnsi" w:hAnsiTheme="minorHAnsi" w:cstheme="minorHAnsi"/>
          <w:b/>
          <w:bCs/>
          <w:i/>
          <w:iCs/>
          <w:lang w:val="en-US" w:eastAsia="zh-CN"/>
        </w:rPr>
        <w:t>Channel Numbering</w:t>
      </w:r>
      <w:r>
        <w:rPr>
          <w:rFonts w:asciiTheme="minorHAnsi" w:hAnsiTheme="minorHAnsi" w:cstheme="minorHAnsi"/>
          <w:b/>
          <w:bCs/>
          <w:lang w:val="en-US" w:eastAsia="zh-CN"/>
        </w:rPr>
        <w:t>: Band 256 and 255 are based on 100KHz channel raster</w:t>
      </w:r>
    </w:p>
    <w:tbl>
      <w:tblPr>
        <w:tblStyle w:val="23"/>
        <w:tblW w:w="9490"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829"/>
        <w:gridCol w:w="933"/>
        <w:gridCol w:w="851"/>
        <w:gridCol w:w="1559"/>
        <w:gridCol w:w="1134"/>
        <w:gridCol w:w="850"/>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vMerge w:val="restart"/>
            <w:tcBorders>
              <w:top w:val="single" w:color="auto" w:sz="4" w:space="0"/>
              <w:left w:val="single" w:color="auto" w:sz="4" w:space="0"/>
              <w:bottom w:val="single" w:color="auto" w:sz="4" w:space="0"/>
              <w:right w:val="single" w:color="auto" w:sz="4" w:space="0"/>
            </w:tcBorders>
            <w:vAlign w:val="bottom"/>
          </w:tcPr>
          <w:p>
            <w:pPr>
              <w:pStyle w:val="33"/>
              <w:spacing w:line="254" w:lineRule="auto"/>
              <w:rPr>
                <w:rFonts w:cs="Arial"/>
                <w:lang w:val="en-US"/>
              </w:rPr>
            </w:pPr>
            <w:r>
              <w:rPr>
                <w:rFonts w:cs="Arial"/>
                <w:lang w:val="en-US"/>
              </w:rPr>
              <w:t>NTN Operating</w:t>
            </w:r>
          </w:p>
          <w:p>
            <w:pPr>
              <w:pStyle w:val="33"/>
              <w:spacing w:line="254" w:lineRule="auto"/>
              <w:rPr>
                <w:rFonts w:cs="Arial"/>
                <w:lang w:val="en-US"/>
              </w:rPr>
            </w:pPr>
            <w:r>
              <w:rPr>
                <w:rFonts w:cs="Arial"/>
                <w:lang w:val="en-US"/>
              </w:rPr>
              <w:t>Band</w:t>
            </w:r>
          </w:p>
        </w:tc>
        <w:tc>
          <w:tcPr>
            <w:tcW w:w="829" w:type="dxa"/>
            <w:vMerge w:val="restart"/>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lang w:val="en-US"/>
              </w:rPr>
              <w:t>ΔF</w:t>
            </w:r>
            <w:r>
              <w:rPr>
                <w:vertAlign w:val="subscript"/>
                <w:lang w:val="en-US"/>
              </w:rPr>
              <w:t>Raster</w:t>
            </w:r>
            <w:r>
              <w:rPr>
                <w:lang w:val="en-US"/>
              </w:rPr>
              <w:t xml:space="preserve"> (kHz)</w:t>
            </w:r>
          </w:p>
        </w:tc>
        <w:tc>
          <w:tcPr>
            <w:tcW w:w="3343" w:type="dxa"/>
            <w:gridSpan w:val="3"/>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Downlink</w:t>
            </w:r>
          </w:p>
        </w:tc>
        <w:tc>
          <w:tcPr>
            <w:tcW w:w="4249" w:type="dxa"/>
            <w:gridSpan w:val="3"/>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rPr>
            </w:pPr>
          </w:p>
        </w:tc>
        <w:tc>
          <w:tcPr>
            <w:tcW w:w="933"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F</w:t>
            </w:r>
            <w:r>
              <w:rPr>
                <w:rFonts w:cs="Arial"/>
                <w:vertAlign w:val="subscript"/>
                <w:lang w:val="en-US"/>
              </w:rPr>
              <w:t xml:space="preserve">DL_low </w:t>
            </w:r>
            <w:r>
              <w:rPr>
                <w:rFonts w:cs="Arial"/>
                <w:lang w:val="en-US"/>
              </w:rPr>
              <w:t>(MHz)</w:t>
            </w:r>
          </w:p>
        </w:tc>
        <w:tc>
          <w:tcPr>
            <w:tcW w:w="851"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N</w:t>
            </w:r>
            <w:r>
              <w:rPr>
                <w:rFonts w:cs="Arial"/>
                <w:vertAlign w:val="subscript"/>
                <w:lang w:val="en-US"/>
              </w:rPr>
              <w:t>Offs-DL</w:t>
            </w:r>
          </w:p>
        </w:tc>
        <w:tc>
          <w:tcPr>
            <w:tcW w:w="1559"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vertAlign w:val="subscript"/>
                <w:lang w:val="en-US"/>
              </w:rPr>
            </w:pPr>
            <w:r>
              <w:rPr>
                <w:rFonts w:cs="Arial"/>
                <w:lang w:val="en-US"/>
              </w:rPr>
              <w:t>Range of N</w:t>
            </w:r>
            <w:r>
              <w:rPr>
                <w:rFonts w:cs="Arial"/>
                <w:vertAlign w:val="subscript"/>
                <w:lang w:val="en-US"/>
              </w:rPr>
              <w:t>DL</w:t>
            </w:r>
          </w:p>
          <w:p>
            <w:pPr>
              <w:pStyle w:val="33"/>
              <w:spacing w:line="254" w:lineRule="auto"/>
              <w:rPr>
                <w:rFonts w:cs="Arial"/>
                <w:lang w:val="en-US"/>
              </w:rPr>
            </w:pPr>
          </w:p>
        </w:tc>
        <w:tc>
          <w:tcPr>
            <w:tcW w:w="1134"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F</w:t>
            </w:r>
            <w:r>
              <w:rPr>
                <w:rFonts w:cs="Arial"/>
                <w:vertAlign w:val="subscript"/>
                <w:lang w:val="en-US"/>
              </w:rPr>
              <w:t xml:space="preserve">UL_low </w:t>
            </w:r>
            <w:r>
              <w:rPr>
                <w:rFonts w:cs="Arial"/>
                <w:lang w:val="en-US"/>
              </w:rPr>
              <w:t>(MHz)</w:t>
            </w:r>
          </w:p>
        </w:tc>
        <w:tc>
          <w:tcPr>
            <w:tcW w:w="850"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N</w:t>
            </w:r>
            <w:r>
              <w:rPr>
                <w:rFonts w:cs="Arial"/>
                <w:vertAlign w:val="subscript"/>
                <w:lang w:val="en-US"/>
              </w:rPr>
              <w:t>Offs-UL</w:t>
            </w:r>
          </w:p>
        </w:tc>
        <w:tc>
          <w:tcPr>
            <w:tcW w:w="2265" w:type="dxa"/>
            <w:tcBorders>
              <w:top w:val="single" w:color="auto" w:sz="4" w:space="0"/>
              <w:left w:val="single" w:color="auto" w:sz="4" w:space="0"/>
              <w:bottom w:val="single" w:color="auto" w:sz="4" w:space="0"/>
              <w:right w:val="single" w:color="auto" w:sz="4" w:space="0"/>
            </w:tcBorders>
          </w:tcPr>
          <w:p>
            <w:pPr>
              <w:pStyle w:val="33"/>
              <w:spacing w:line="254" w:lineRule="auto"/>
              <w:rPr>
                <w:rFonts w:cs="Arial"/>
                <w:lang w:val="en-US"/>
              </w:rPr>
            </w:pPr>
            <w:r>
              <w:rPr>
                <w:rFonts w:cs="Arial"/>
                <w:lang w:val="en-US"/>
              </w:rPr>
              <w:t>Range of N</w:t>
            </w:r>
            <w:r>
              <w:rPr>
                <w:rFonts w:cs="Arial"/>
                <w:vertAlign w:val="subscript"/>
                <w:lang w:val="en-US"/>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256</w:t>
            </w:r>
          </w:p>
        </w:tc>
        <w:tc>
          <w:tcPr>
            <w:tcW w:w="829" w:type="dxa"/>
            <w:tcBorders>
              <w:top w:val="single" w:color="auto" w:sz="4" w:space="0"/>
              <w:left w:val="single" w:color="auto" w:sz="4" w:space="0"/>
              <w:bottom w:val="single" w:color="auto" w:sz="4" w:space="0"/>
              <w:right w:val="single" w:color="auto" w:sz="4" w:space="0"/>
            </w:tcBorders>
            <w:vAlign w:val="center"/>
          </w:tcPr>
          <w:p>
            <w:pPr>
              <w:pStyle w:val="34"/>
              <w:spacing w:line="254" w:lineRule="auto"/>
              <w:rPr>
                <w:rFonts w:cs="Arial"/>
                <w:lang w:val="en-US"/>
              </w:rPr>
            </w:pPr>
            <w:r>
              <w:rPr>
                <w:rFonts w:cs="Arial"/>
                <w:lang w:val="en-US"/>
              </w:rPr>
              <w:t>100</w:t>
            </w:r>
          </w:p>
        </w:tc>
        <w:tc>
          <w:tcPr>
            <w:tcW w:w="933"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2170</w:t>
            </w:r>
          </w:p>
        </w:tc>
        <w:tc>
          <w:tcPr>
            <w:tcW w:w="851"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229076</w:t>
            </w:r>
          </w:p>
        </w:tc>
        <w:tc>
          <w:tcPr>
            <w:tcW w:w="1559"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229076 –&lt;1&gt;– 229375</w:t>
            </w:r>
          </w:p>
        </w:tc>
        <w:tc>
          <w:tcPr>
            <w:tcW w:w="1134"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1980</w:t>
            </w:r>
          </w:p>
        </w:tc>
        <w:tc>
          <w:tcPr>
            <w:tcW w:w="850"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261844</w:t>
            </w:r>
          </w:p>
        </w:tc>
        <w:tc>
          <w:tcPr>
            <w:tcW w:w="2265"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261844 –&lt;1&gt;– 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9"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255</w:t>
            </w:r>
          </w:p>
        </w:tc>
        <w:tc>
          <w:tcPr>
            <w:tcW w:w="829"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szCs w:val="18"/>
                <w:lang w:val="en-US"/>
              </w:rPr>
              <w:t>100</w:t>
            </w:r>
          </w:p>
        </w:tc>
        <w:tc>
          <w:tcPr>
            <w:tcW w:w="933"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1525</w:t>
            </w:r>
          </w:p>
        </w:tc>
        <w:tc>
          <w:tcPr>
            <w:tcW w:w="851"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228736</w:t>
            </w:r>
          </w:p>
        </w:tc>
        <w:tc>
          <w:tcPr>
            <w:tcW w:w="1559"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228736 – &lt;1&gt;– 229075</w:t>
            </w:r>
          </w:p>
        </w:tc>
        <w:tc>
          <w:tcPr>
            <w:tcW w:w="1134"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1626.5</w:t>
            </w:r>
          </w:p>
        </w:tc>
        <w:tc>
          <w:tcPr>
            <w:tcW w:w="850"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261504</w:t>
            </w:r>
          </w:p>
        </w:tc>
        <w:tc>
          <w:tcPr>
            <w:tcW w:w="2265" w:type="dxa"/>
            <w:tcBorders>
              <w:top w:val="single" w:color="auto" w:sz="4" w:space="0"/>
              <w:left w:val="single" w:color="auto" w:sz="4" w:space="0"/>
              <w:bottom w:val="single" w:color="auto" w:sz="4" w:space="0"/>
              <w:right w:val="single" w:color="auto" w:sz="4" w:space="0"/>
            </w:tcBorders>
          </w:tcPr>
          <w:p>
            <w:pPr>
              <w:pStyle w:val="34"/>
              <w:spacing w:line="254" w:lineRule="auto"/>
              <w:rPr>
                <w:rFonts w:cs="Arial"/>
                <w:lang w:val="en-US"/>
              </w:rPr>
            </w:pPr>
            <w:r>
              <w:rPr>
                <w:rFonts w:cs="Arial"/>
                <w:lang w:val="en-US"/>
              </w:rPr>
              <w:t>261504 –&lt;1&gt;– 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0" w:type="dxa"/>
            <w:gridSpan w:val="8"/>
            <w:tcBorders>
              <w:top w:val="single" w:color="auto" w:sz="4" w:space="0"/>
              <w:left w:val="single" w:color="auto" w:sz="4" w:space="0"/>
              <w:bottom w:val="single" w:color="auto" w:sz="4" w:space="0"/>
              <w:right w:val="single" w:color="auto" w:sz="4" w:space="0"/>
            </w:tcBorders>
          </w:tcPr>
          <w:p>
            <w:pPr>
              <w:pStyle w:val="34"/>
              <w:spacing w:line="254" w:lineRule="auto"/>
              <w:jc w:val="left"/>
              <w:rPr>
                <w:rFonts w:cs="Arial"/>
                <w:lang w:val="en-US"/>
              </w:rPr>
            </w:pPr>
            <w:r>
              <w:rPr>
                <w:lang w:val="en-US"/>
              </w:rPr>
              <w:t>NOTE:</w:t>
            </w:r>
            <w:r>
              <w:rPr>
                <w:lang w:val="en-US"/>
              </w:rPr>
              <w:tab/>
            </w:r>
            <w:r>
              <w:rPr>
                <w:lang w:val="en-US"/>
              </w:rPr>
              <w:t xml:space="preserve">The channel numbers that designate carrier frequencies so close to the operating band edges that the carrier extends beyond the operating band edge shall not be used. </w:t>
            </w:r>
            <w:r>
              <w:rPr>
                <w:color w:val="FF0000"/>
                <w:lang w:val="en-US"/>
              </w:rPr>
              <w:t>&lt;Add for Cat-M1 the following&gt;</w:t>
            </w:r>
            <w:r>
              <w:rPr>
                <w:lang w:val="en-US"/>
              </w:rPr>
              <w:t xml:space="preserve">: </w:t>
            </w:r>
            <w:r>
              <w:rPr>
                <w:rFonts w:cs="Arial"/>
                <w:lang w:val="en-US"/>
              </w:rPr>
              <w:t>This implies that the first 7 channel numbers at the lower operating band edge and the last 6 channel numbers at the upper operating band edge shall not be used for channel bandwidths of 1.4 MHz.</w:t>
            </w:r>
          </w:p>
        </w:tc>
      </w:tr>
    </w:tbl>
    <w:p>
      <w:pPr>
        <w:pStyle w:val="37"/>
        <w:ind w:left="1440"/>
        <w:rPr>
          <w:rFonts w:asciiTheme="minorHAnsi" w:hAnsiTheme="minorHAnsi" w:eastAsiaTheme="minorEastAsia" w:cstheme="minorHAnsi"/>
          <w:i/>
          <w:lang w:val="en-US" w:eastAsia="zh-CN"/>
        </w:rPr>
      </w:pPr>
    </w:p>
    <w:p>
      <w:pPr>
        <w:pStyle w:val="37"/>
        <w:numPr>
          <w:ilvl w:val="1"/>
          <w:numId w:val="2"/>
        </w:numPr>
        <w:rPr>
          <w:rFonts w:asciiTheme="minorHAnsi" w:hAnsiTheme="minorHAnsi" w:eastAsiaTheme="minorEastAsia" w:cstheme="minorHAnsi"/>
          <w:i/>
          <w:lang w:val="en-US" w:eastAsia="zh-CN"/>
        </w:rPr>
      </w:pPr>
      <w:r>
        <w:rPr>
          <w:rFonts w:asciiTheme="minorHAnsi" w:hAnsiTheme="minorHAnsi" w:eastAsiaTheme="minorEastAsia" w:cstheme="minorHAnsi"/>
          <w:i/>
          <w:lang w:val="en-US" w:eastAsia="zh-CN"/>
        </w:rPr>
        <w:t>NOTE: there could be option to have 200KHz channel raster in the future for other bands.</w:t>
      </w:r>
    </w:p>
    <w:p>
      <w:pPr>
        <w:pStyle w:val="37"/>
        <w:numPr>
          <w:ilvl w:val="2"/>
          <w:numId w:val="2"/>
        </w:numPr>
        <w:rPr>
          <w:rFonts w:asciiTheme="minorHAnsi" w:hAnsiTheme="minorHAnsi" w:eastAsiaTheme="minorEastAsia" w:cstheme="minorHAnsi"/>
          <w:i/>
          <w:lang w:val="en-US" w:eastAsia="zh-CN"/>
        </w:rPr>
      </w:pPr>
      <w:r>
        <w:rPr>
          <w:rFonts w:asciiTheme="minorHAnsi" w:hAnsiTheme="minorHAnsi" w:eastAsiaTheme="minorEastAsia" w:cstheme="minorHAnsi"/>
          <w:i/>
          <w:lang w:val="en-US" w:eastAsia="zh-CN"/>
        </w:rPr>
        <w:t>FFS whether to capture the above NOTE in TS or WF.</w:t>
      </w:r>
    </w:p>
    <w:p>
      <w:pPr>
        <w:pStyle w:val="36"/>
        <w:tabs>
          <w:tab w:val="left" w:pos="567"/>
          <w:tab w:val="clear" w:pos="1985"/>
        </w:tabs>
        <w:adjustRightInd w:val="0"/>
        <w:ind w:left="510" w:hanging="510"/>
        <w:rPr>
          <w:rFonts w:hint="default"/>
          <w:lang w:val="en-US" w:eastAsia="zh-CN"/>
        </w:rPr>
      </w:pPr>
      <w:r>
        <w:rPr>
          <w:rFonts w:hint="eastAsia" w:ascii="Arial" w:hAnsi="Arial"/>
          <w:highlight w:val="none"/>
          <w:lang w:val="en-US" w:eastAsia="zh-CN"/>
        </w:rPr>
        <w:t>Discussion on system parameters for IoT over NTN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Channel spacing</w:t>
      </w:r>
    </w:p>
    <w:p>
      <w:pPr>
        <w:rPr>
          <w:rFonts w:hint="eastAsia"/>
          <w:lang w:val="en-US" w:eastAsia="zh-CN"/>
        </w:rPr>
      </w:pPr>
      <w:r>
        <w:rPr>
          <w:rFonts w:hint="eastAsia"/>
          <w:lang w:val="en-US" w:eastAsia="zh-CN"/>
        </w:rPr>
        <w:t>In the previous RAN4 meeting, there were some initial discussions on frequency ranges between NB-IoT carriers and it</w:t>
      </w:r>
      <w:r>
        <w:rPr>
          <w:rFonts w:hint="default"/>
          <w:lang w:val="en-US" w:eastAsia="zh-CN"/>
        </w:rPr>
        <w:t>’</w:t>
      </w:r>
      <w:r>
        <w:rPr>
          <w:rFonts w:hint="eastAsia"/>
          <w:lang w:val="en-US" w:eastAsia="zh-CN"/>
        </w:rPr>
        <w:t xml:space="preserve">s still kept open for further discussions. Some companies argued that 200kHz freq offset is only applicable to the edge of RF bandwidth as shown in the following Figure 1, however other companies argued that 200kHz freq gap is not only applicable to the edge of RF bandwidth and but also applicable for adjacent standalone NB-IoT carriers based on the current NB-IoT BS ACLR/UEM requirement which is somehow also aligned with the practical deployment.  </w:t>
      </w:r>
    </w:p>
    <w:p>
      <w:pPr>
        <w:autoSpaceDE/>
        <w:autoSpaceDN/>
        <w:adjustRightInd/>
        <w:snapToGrid/>
        <w:spacing w:before="0" w:beforeLines="-2147483648" w:after="0" w:afterLines="-2147483648" w:line="240" w:lineRule="auto"/>
        <w:jc w:val="left"/>
      </w:pPr>
      <w:r>
        <w:drawing>
          <wp:inline distT="0" distB="0" distL="114300" distR="114300">
            <wp:extent cx="6186170" cy="1844040"/>
            <wp:effectExtent l="0" t="0" r="5080" b="381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6186170" cy="184404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lang w:val="en-US" w:eastAsia="zh-CN"/>
        </w:rPr>
        <w:t>Figure 1. the illustration of standalone NB-IoT carrier placement within the RF bandwidth</w:t>
      </w:r>
    </w:p>
    <w:p>
      <w:pPr>
        <w:autoSpaceDE/>
        <w:autoSpaceDN/>
        <w:adjustRightInd/>
        <w:snapToGrid/>
        <w:spacing w:before="0" w:beforeLines="-2147483648" w:after="0" w:afterLines="-2147483648" w:line="240" w:lineRule="auto"/>
        <w:jc w:val="both"/>
        <w:rPr>
          <w:rFonts w:hint="default"/>
          <w:lang w:val="en-US" w:eastAsia="zh-CN"/>
        </w:rPr>
      </w:pPr>
      <w:r>
        <w:rPr>
          <w:rFonts w:hint="eastAsia"/>
          <w:lang w:val="en-US" w:eastAsia="zh-CN"/>
        </w:rPr>
        <w:t xml:space="preserve">Indeed based on the coexistence study back to Rel-13 NB-IoT, 200kHz frequency gap is proposed for 100kHz guard band between standalone NB-IoT carrier and GSM carriers from the coexistence perspective. When defining the UEM requirement for standalone NB-IoT BS, it was agreed that the </w:t>
      </w:r>
      <w:r>
        <w:rPr>
          <w:sz w:val="22"/>
          <w:lang w:eastAsia="zh-CN"/>
        </w:rPr>
        <w:t>existing MSR UEM requirement specified in clause 6.6.2.2 of TS 37.104 for BC2 operation is reused for all operating bands using the same F</w:t>
      </w:r>
      <w:r>
        <w:rPr>
          <w:sz w:val="22"/>
          <w:vertAlign w:val="subscript"/>
          <w:lang w:eastAsia="zh-CN"/>
        </w:rPr>
        <w:t>offset, RAT</w:t>
      </w:r>
      <w:r>
        <w:rPr>
          <w:sz w:val="22"/>
          <w:lang w:eastAsia="zh-CN"/>
        </w:rPr>
        <w:t xml:space="preserve"> value </w:t>
      </w:r>
      <w:r>
        <w:rPr>
          <w:rFonts w:hint="eastAsia"/>
          <w:sz w:val="22"/>
          <w:lang w:val="en-US" w:eastAsia="zh-CN"/>
        </w:rPr>
        <w:t>(200kHz)</w:t>
      </w:r>
      <w:r>
        <w:rPr>
          <w:sz w:val="22"/>
          <w:lang w:eastAsia="zh-CN"/>
        </w:rPr>
        <w:t>for NB-IoT as for GSM.</w:t>
      </w:r>
      <w:r>
        <w:rPr>
          <w:rFonts w:hint="eastAsia"/>
          <w:sz w:val="22"/>
          <w:lang w:val="en-US" w:eastAsia="zh-CN"/>
        </w:rPr>
        <w:t xml:space="preserve"> In other words, frequency offset 200kHz should be applicable for the edge of RF bandwidth and this should be also applicable for channel arrangement of adjacent NB-IoT carriers from coexistence perspective. </w:t>
      </w:r>
    </w:p>
    <w:p>
      <w:pPr>
        <w:autoSpaceDE/>
        <w:autoSpaceDN/>
        <w:adjustRightInd/>
        <w:snapToGrid/>
        <w:spacing w:before="0" w:beforeLines="-2147483648" w:after="0" w:afterLines="-2147483648" w:line="240" w:lineRule="auto"/>
        <w:jc w:val="both"/>
        <w:rPr>
          <w:rFonts w:hint="default"/>
          <w:lang w:val="en-US" w:eastAsia="zh-CN"/>
        </w:rPr>
      </w:pPr>
      <w:r>
        <w:rPr>
          <w:rFonts w:hint="eastAsia"/>
          <w:lang w:val="en-US" w:eastAsia="zh-CN"/>
        </w:rPr>
        <w:t xml:space="preserve">For Rel-18 IoT over NTN, the legacy100kHz guard band next to the edge of RF bandwidth might be questionable as we mentioned in the last RAN4 meeting. Based on the initial simulation results between IoT over NTN and TN NR as presented in the last RAN4 meeting, SAN DL ACLR requirement of IoT over NTN should not be the bottleneck anymore, the current ACLR/UEM requirement of NR over NTN in Rel-17 should be sufficient, therefore we propose to remove the 100kHz guard band for both of next to the edge of RF bandwidth and  between adjacent NB-IoT carriers.  </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Proposal 1:</w:t>
      </w:r>
      <w:r>
        <w:rPr>
          <w:rFonts w:hint="eastAsia"/>
          <w:lang w:val="en-US" w:eastAsia="zh-CN"/>
        </w:rPr>
        <w:t xml:space="preserve"> propose to remove the 100kHz guard band for both of next to the edge of RF bandwidth and between adjacent NB-IoT carriers.-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M_DL for standalone NB-IoT non-anchor carriers</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During the last RAN4 meeting, there were some candidate proposals to improve the spectral utilization between adjacent anchor carrier and non-anchor carriers by adjusting the M_DL value of non-anchor carriers to ensure its orthogonality between anchor carriers and non-anchor carriers. Indeed this issue has already been identified back to Rel-14 as agreed in [6], we could understand its motivation, however we don</w:t>
      </w:r>
      <w:r>
        <w:rPr>
          <w:rFonts w:hint="default"/>
          <w:lang w:val="en-US" w:eastAsia="zh-CN"/>
        </w:rPr>
        <w:t>’</w:t>
      </w:r>
      <w:r>
        <w:rPr>
          <w:rFonts w:hint="eastAsia"/>
          <w:lang w:val="en-US" w:eastAsia="zh-CN"/>
        </w:rPr>
        <w:t>t see its urgency to further update M_DL value for non-acnhor carrier especially considering this was not specified for TN NB-IoT system yet. Since we are seeking to reuse the existing TN NB-IoT design as much as possible, at least we propose not to consider it in this Release and still follow the same M_DL value for TN FDD band.</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2</w:t>
      </w:r>
      <w:r>
        <w:rPr>
          <w:rFonts w:hint="eastAsia"/>
          <w:lang w:val="en-US" w:eastAsia="zh-CN"/>
        </w:rPr>
        <w:t>: to follow the same M_DL value of TN FDD band in Rel-18.</w:t>
      </w:r>
    </w:p>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In this contribution, we want to share some </w:t>
      </w:r>
      <w:r>
        <w:rPr>
          <w:rFonts w:hint="eastAsia" w:cs="Times New Roman"/>
          <w:b w:val="0"/>
          <w:bCs w:val="0"/>
          <w:kern w:val="2"/>
          <w:sz w:val="20"/>
          <w:szCs w:val="20"/>
          <w:highlight w:val="none"/>
          <w:vertAlign w:val="baseline"/>
          <w:lang w:val="en-US" w:eastAsia="zh-CN" w:bidi="ar-SA"/>
        </w:rPr>
        <w:t>further</w:t>
      </w:r>
      <w:r>
        <w:rPr>
          <w:rFonts w:hint="eastAsia" w:ascii="Times New Roman" w:hAnsi="Times New Roman" w:eastAsia="宋体" w:cs="Times New Roman"/>
          <w:b w:val="0"/>
          <w:bCs w:val="0"/>
          <w:kern w:val="2"/>
          <w:sz w:val="20"/>
          <w:szCs w:val="20"/>
          <w:highlight w:val="none"/>
          <w:vertAlign w:val="baseline"/>
          <w:lang w:val="en-US" w:eastAsia="zh-CN" w:bidi="ar-SA"/>
        </w:rPr>
        <w:t xml:space="preserve"> consideration on system parameters for IoT over NTN</w:t>
      </w:r>
      <w:r>
        <w:rPr>
          <w:rFonts w:hint="eastAsia" w:cs="Times New Roman"/>
          <w:b w:val="0"/>
          <w:bCs w:val="0"/>
          <w:kern w:val="2"/>
          <w:sz w:val="20"/>
          <w:szCs w:val="20"/>
          <w:highlight w:val="none"/>
          <w:vertAlign w:val="baseline"/>
          <w:lang w:val="en-US" w:eastAsia="zh-CN" w:bidi="ar-SA"/>
        </w:rPr>
        <w:t xml:space="preserve"> and observations and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both"/>
        <w:rPr>
          <w:rFonts w:hint="default"/>
          <w:lang w:val="en-US" w:eastAsia="zh-CN"/>
        </w:rPr>
      </w:pPr>
      <w:r>
        <w:rPr>
          <w:rFonts w:hint="eastAsia"/>
          <w:b/>
          <w:bCs/>
          <w:lang w:val="en-US" w:eastAsia="zh-CN"/>
        </w:rPr>
        <w:t>Proposal 1:</w:t>
      </w:r>
      <w:r>
        <w:rPr>
          <w:rFonts w:hint="eastAsia"/>
          <w:lang w:val="en-US" w:eastAsia="zh-CN"/>
        </w:rPr>
        <w:t xml:space="preserve"> propose to remove the 100kHz guard band for both of next to the edge of RF bandwidth and between adjacent NB-IoT carriers.-</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b/>
          <w:bCs/>
          <w:lang w:val="en-US" w:eastAsia="zh-CN"/>
        </w:rPr>
        <w:t>Proposal 2</w:t>
      </w:r>
      <w:r>
        <w:rPr>
          <w:rFonts w:hint="eastAsia"/>
          <w:lang w:val="en-US" w:eastAsia="zh-CN"/>
        </w:rPr>
        <w:t>: to follow the same M_DL value of TN FDD band in Rel-18.</w:t>
      </w:r>
    </w:p>
    <w:p>
      <w:pPr>
        <w:pStyle w:val="36"/>
        <w:tabs>
          <w:tab w:val="left" w:pos="567"/>
          <w:tab w:val="clear" w:pos="1985"/>
        </w:tabs>
        <w:adjustRightInd w:val="0"/>
        <w:ind w:left="510" w:hanging="510"/>
        <w:rPr>
          <w:rFonts w:hint="eastAsia"/>
          <w:highlight w:val="none"/>
        </w:rPr>
      </w:pPr>
      <w:r>
        <w:rPr>
          <w:highlight w:val="none"/>
        </w:rPr>
        <w:t>References</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RP-221556, WID on NB-IoT/eMTC core &amp; performance requirements for NTN.</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z w:val="20"/>
          <w:szCs w:val="20"/>
          <w:highlight w:val="none"/>
          <w:vertAlign w:val="baseline"/>
          <w:lang w:val="en-US" w:eastAsia="zh-CN" w:bidi="ar-SA"/>
        </w:rPr>
        <w:t>R4-2214380</w:t>
      </w:r>
      <w:r>
        <w:rPr>
          <w:rFonts w:hint="eastAsia" w:ascii="Times New Roman" w:hAnsi="Times New Roman" w:eastAsia="宋体" w:cs="Times New Roman"/>
          <w:b w:val="0"/>
          <w:bCs w:val="0"/>
          <w:sz w:val="20"/>
          <w:szCs w:val="20"/>
          <w:highlight w:val="none"/>
          <w:vertAlign w:val="baseline"/>
          <w:lang w:val="en-US" w:eastAsia="zh-CN" w:bidi="ar-SA"/>
        </w:rPr>
        <w:fldChar w:fldCharType="end"/>
      </w:r>
      <w:r>
        <w:rPr>
          <w:rFonts w:hint="eastAsia" w:ascii="Times New Roman" w:hAnsi="Times New Roman" w:eastAsia="宋体" w:cs="Times New Roman"/>
          <w:b w:val="0"/>
          <w:bCs w:val="0"/>
          <w:sz w:val="20"/>
          <w:szCs w:val="20"/>
          <w:highlight w:val="none"/>
          <w:vertAlign w:val="baseline"/>
          <w:lang w:val="en-US" w:eastAsia="zh-CN" w:bidi="ar-SA"/>
        </w:rPr>
        <w:t>,</w:t>
      </w:r>
      <w:r>
        <w:rPr>
          <w:rFonts w:hint="eastAsia" w:ascii="Times New Roman" w:hAnsi="Times New Roman" w:eastAsia="宋体" w:cs="Times New Roman"/>
          <w:b w:val="0"/>
          <w:bCs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z w:val="20"/>
          <w:szCs w:val="20"/>
          <w:highlight w:val="none"/>
          <w:vertAlign w:val="baseline"/>
          <w:lang w:val="en-US" w:eastAsia="zh-CN" w:bidi="ar-SA"/>
        </w:rPr>
        <w:instrText xml:space="preserve"> HYPERLINK "https://www.3gpp.org/ftp/tsg_ran/WG4_Radio/TSGR4_104-e/Inbox/R4-2214381.zip" \t "_blank" </w:instrText>
      </w:r>
      <w:r>
        <w:rPr>
          <w:rFonts w:hint="eastAsia" w:ascii="Times New Roman" w:hAnsi="Times New Roman" w:eastAsia="宋体" w:cs="Times New Roman"/>
          <w:b w:val="0"/>
          <w:bCs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z w:val="20"/>
          <w:szCs w:val="20"/>
          <w:highlight w:val="none"/>
          <w:vertAlign w:val="baseline"/>
          <w:lang w:val="en-US" w:eastAsia="zh-CN" w:bidi="ar-SA"/>
        </w:rPr>
        <w:t>WF on system parameter for IoT over NTN</w:t>
      </w:r>
      <w:r>
        <w:rPr>
          <w:rFonts w:hint="eastAsia" w:ascii="Times New Roman" w:hAnsi="Times New Roman" w:eastAsia="宋体" w:cs="Times New Roman"/>
          <w:b w:val="0"/>
          <w:bCs w:val="0"/>
          <w:sz w:val="20"/>
          <w:szCs w:val="20"/>
          <w:highlight w:val="none"/>
          <w:vertAlign w:val="baseline"/>
          <w:lang w:val="en-US" w:eastAsia="zh-CN" w:bidi="ar-SA"/>
        </w:rPr>
        <w:fldChar w:fldCharType="end"/>
      </w:r>
      <w:r>
        <w:rPr>
          <w:rFonts w:hint="eastAsia" w:ascii="Times New Roman" w:hAnsi="Times New Roman" w:eastAsia="宋体" w:cs="Times New Roman"/>
          <w:b w:val="0"/>
          <w:bCs w:val="0"/>
          <w:sz w:val="20"/>
          <w:szCs w:val="20"/>
          <w:highlight w:val="none"/>
          <w:vertAlign w:val="baseline"/>
          <w:lang w:val="en-US" w:eastAsia="zh-CN" w:bidi="ar-SA"/>
        </w:rPr>
        <w:t>, Ericsson, approved.</w:t>
      </w:r>
    </w:p>
    <w:p>
      <w:pPr>
        <w:numPr>
          <w:ilvl w:val="0"/>
          <w:numId w:val="3"/>
        </w:numPr>
        <w:rPr>
          <w:rFonts w:hint="default"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R4-160915, NB-IoT BS RF – UEM MSR mask, Ericsson, Noted</w:t>
      </w:r>
    </w:p>
    <w:p>
      <w:pPr>
        <w:numPr>
          <w:ilvl w:val="0"/>
          <w:numId w:val="3"/>
        </w:numPr>
        <w:rPr>
          <w:rFonts w:hint="default" w:ascii="Times New Roman" w:hAnsi="Times New Roman" w:eastAsia="宋体" w:cs="Times New Roman"/>
          <w:b w:val="0"/>
          <w:bCs w:val="0"/>
          <w:sz w:val="20"/>
          <w:szCs w:val="20"/>
          <w:highlight w:val="none"/>
          <w:vertAlign w:val="baseline"/>
          <w:lang w:val="en-US" w:eastAsia="zh-CN" w:bidi="ar-SA"/>
        </w:rPr>
      </w:pPr>
      <w:r>
        <w:rPr>
          <w:rFonts w:hint="eastAsia" w:cs="Times New Roman"/>
          <w:b w:val="0"/>
          <w:bCs w:val="0"/>
          <w:sz w:val="20"/>
          <w:szCs w:val="20"/>
          <w:highlight w:val="none"/>
          <w:vertAlign w:val="baseline"/>
          <w:lang w:val="en-US" w:eastAsia="zh-CN" w:bidi="ar-SA"/>
        </w:rPr>
        <w:t>R4-2213695, system parameters and coexistence verification for IoT over NTN, ZTE, Noted</w:t>
      </w:r>
    </w:p>
    <w:p>
      <w:pPr>
        <w:numPr>
          <w:ilvl w:val="0"/>
          <w:numId w:val="3"/>
        </w:numPr>
        <w:rPr>
          <w:rFonts w:hint="default" w:ascii="Times New Roman" w:hAnsi="Times New Roman" w:eastAsia="宋体" w:cs="Times New Roman"/>
          <w:b w:val="0"/>
          <w:bCs w:val="0"/>
          <w:sz w:val="20"/>
          <w:szCs w:val="20"/>
          <w:highlight w:val="none"/>
          <w:vertAlign w:val="baseline"/>
          <w:lang w:val="en-US" w:eastAsia="zh-CN" w:bidi="ar-SA"/>
        </w:rPr>
      </w:pPr>
      <w:r>
        <w:rPr>
          <w:color w:val="000000"/>
          <w:sz w:val="18"/>
          <w:szCs w:val="18"/>
          <w:lang w:val="en-US" w:eastAsia="zh-CN"/>
        </w:rPr>
        <w:t>R4-2217747</w:t>
      </w:r>
      <w:r>
        <w:rPr>
          <w:rFonts w:hint="eastAsia"/>
          <w:color w:val="000000"/>
          <w:sz w:val="18"/>
          <w:szCs w:val="18"/>
          <w:lang w:val="en-US" w:eastAsia="zh-CN"/>
        </w:rPr>
        <w:t>,</w:t>
      </w:r>
      <w:r>
        <w:rPr>
          <w:sz w:val="18"/>
          <w:szCs w:val="18"/>
          <w:lang w:val="en-US" w:eastAsia="zh-CN"/>
        </w:rPr>
        <w:t>WF on UE RF and System Parameters for IoT NTN</w:t>
      </w:r>
      <w:r>
        <w:rPr>
          <w:rFonts w:hint="eastAsia"/>
          <w:sz w:val="18"/>
          <w:szCs w:val="18"/>
          <w:lang w:val="en-US" w:eastAsia="zh-CN"/>
        </w:rPr>
        <w:t>, MTK, approved.</w:t>
      </w:r>
    </w:p>
    <w:p>
      <w:pPr>
        <w:numPr>
          <w:ilvl w:val="0"/>
          <w:numId w:val="3"/>
        </w:numPr>
        <w:rPr>
          <w:rFonts w:hint="eastAsia" w:ascii="Times New Roman" w:hAnsi="Times New Roman" w:eastAsia="宋体" w:cs="Times New Roman"/>
          <w:b w:val="0"/>
          <w:bCs w:val="0"/>
          <w:sz w:val="20"/>
          <w:szCs w:val="20"/>
          <w:highlight w:val="none"/>
          <w:vertAlign w:val="baseline"/>
          <w:lang w:val="en-US" w:eastAsia="zh-CN" w:bidi="ar-SA"/>
        </w:rPr>
      </w:pPr>
      <w:r>
        <w:rPr>
          <w:rFonts w:hint="eastAsia"/>
          <w:b w:val="0"/>
          <w:i w:val="0"/>
          <w:sz w:val="20"/>
          <w:szCs w:val="20"/>
          <w:highlight w:val="none"/>
        </w:rPr>
        <w:t>R4-1705401</w:t>
      </w:r>
      <w:r>
        <w:rPr>
          <w:rFonts w:hint="eastAsia"/>
          <w:b w:val="0"/>
          <w:i w:val="0"/>
          <w:sz w:val="20"/>
          <w:szCs w:val="20"/>
          <w:highlight w:val="none"/>
          <w:lang w:val="en-US" w:eastAsia="zh-CN"/>
        </w:rPr>
        <w:t>,</w:t>
      </w:r>
      <w:r>
        <w:rPr>
          <w:rFonts w:hint="eastAsia" w:ascii="Times New Roman" w:hAnsi="Times New Roman" w:eastAsia="宋体" w:cs="Times New Roman"/>
          <w:i w:val="0"/>
          <w:caps w:val="0"/>
          <w:spacing w:val="0"/>
          <w:sz w:val="20"/>
          <w:szCs w:val="20"/>
          <w:highlight w:val="none"/>
          <w:u w:val="none"/>
          <w:shd w:val="clear"/>
        </w:rPr>
        <w:t>Channel Raster For Multiple Standalone NB-IoT Carriers (TS 36.104</w:t>
      </w:r>
      <w:r>
        <w:rPr>
          <w:rFonts w:hint="eastAsia" w:ascii="Times New Roman" w:hAnsi="Times New Roman" w:eastAsia="宋体" w:cs="Times New Roman"/>
          <w:i w:val="0"/>
          <w:caps w:val="0"/>
          <w:spacing w:val="0"/>
          <w:sz w:val="20"/>
          <w:szCs w:val="20"/>
          <w:highlight w:val="none"/>
          <w:u w:val="none"/>
          <w:shd w:val="clear"/>
          <w:lang w:val="en-US" w:eastAsia="zh-CN"/>
        </w:rPr>
        <w:t xml:space="preserve"> </w:t>
      </w:r>
      <w:r>
        <w:rPr>
          <w:rFonts w:hint="eastAsia" w:ascii="Times New Roman" w:hAnsi="Times New Roman" w:eastAsia="宋体" w:cs="Times New Roman"/>
          <w:caps w:val="0"/>
          <w:spacing w:val="0"/>
          <w:sz w:val="20"/>
          <w:szCs w:val="20"/>
          <w:highlight w:val="none"/>
          <w:u w:val="none"/>
          <w:vertAlign w:val="baseline"/>
        </w:rPr>
        <w:fldChar w:fldCharType="begin"/>
      </w:r>
      <w:r>
        <w:rPr>
          <w:rFonts w:hint="eastAsia" w:ascii="Times New Roman" w:hAnsi="Times New Roman" w:eastAsia="宋体" w:cs="Times New Roman"/>
          <w:caps w:val="0"/>
          <w:spacing w:val="0"/>
          <w:sz w:val="20"/>
          <w:szCs w:val="20"/>
          <w:highlight w:val="none"/>
          <w:u w:val="none"/>
          <w:vertAlign w:val="baseline"/>
        </w:rPr>
        <w:instrText xml:space="preserve"> HYPERLINK "https://www.3gpp.org/ftp//Specs/archive/36_series/36.104/36104-e30.zip" </w:instrText>
      </w:r>
      <w:r>
        <w:rPr>
          <w:rFonts w:hint="eastAsia" w:ascii="Times New Roman" w:hAnsi="Times New Roman" w:eastAsia="宋体" w:cs="Times New Roman"/>
          <w:caps w:val="0"/>
          <w:spacing w:val="0"/>
          <w:sz w:val="20"/>
          <w:szCs w:val="20"/>
          <w:highlight w:val="none"/>
          <w:u w:val="none"/>
          <w:vertAlign w:val="baseline"/>
        </w:rPr>
        <w:fldChar w:fldCharType="separate"/>
      </w:r>
      <w:r>
        <w:rPr>
          <w:rFonts w:hint="eastAsia" w:ascii="Times New Roman" w:hAnsi="Times New Roman" w:eastAsia="宋体" w:cs="Times New Roman"/>
          <w:caps w:val="0"/>
          <w:spacing w:val="0"/>
          <w:sz w:val="20"/>
          <w:szCs w:val="20"/>
          <w:highlight w:val="none"/>
          <w:u w:val="none"/>
          <w:vertAlign w:val="baseline"/>
        </w:rPr>
        <w:t>14.3.0</w:t>
      </w:r>
      <w:r>
        <w:rPr>
          <w:rFonts w:hint="eastAsia" w:ascii="Times New Roman" w:hAnsi="Times New Roman" w:eastAsia="宋体" w:cs="Times New Roman"/>
          <w:caps w:val="0"/>
          <w:spacing w:val="0"/>
          <w:sz w:val="20"/>
          <w:szCs w:val="20"/>
          <w:highlight w:val="none"/>
          <w:u w:val="none"/>
          <w:vertAlign w:val="baseline"/>
        </w:rPr>
        <w:fldChar w:fldCharType="end"/>
      </w:r>
      <w:r>
        <w:rPr>
          <w:rFonts w:hint="eastAsia" w:ascii="Times New Roman" w:hAnsi="Times New Roman" w:eastAsia="宋体" w:cs="Times New Roman"/>
          <w:i w:val="0"/>
          <w:caps w:val="0"/>
          <w:spacing w:val="0"/>
          <w:sz w:val="20"/>
          <w:szCs w:val="20"/>
          <w:highlight w:val="none"/>
          <w:u w:val="none"/>
          <w:shd w:val="clear"/>
        </w:rPr>
        <w:t>)</w:t>
      </w:r>
      <w:r>
        <w:rPr>
          <w:rFonts w:hint="eastAsia" w:ascii="Times New Roman" w:hAnsi="Times New Roman" w:eastAsia="宋体" w:cs="Times New Roman"/>
          <w:i w:val="0"/>
          <w:caps w:val="0"/>
          <w:spacing w:val="0"/>
          <w:sz w:val="20"/>
          <w:szCs w:val="20"/>
          <w:highlight w:val="none"/>
          <w:u w:val="none"/>
          <w:shd w:val="clear"/>
          <w:lang w:val="en-US" w:eastAsia="zh-CN"/>
        </w:rPr>
        <w:t xml:space="preserve"> ,</w:t>
      </w:r>
      <w:r>
        <w:rPr>
          <w:rFonts w:hint="eastAsia" w:ascii="Times New Roman" w:hAnsi="Times New Roman" w:eastAsia="宋体" w:cs="Times New Roman"/>
          <w:i w:val="0"/>
          <w:caps w:val="0"/>
          <w:spacing w:val="0"/>
          <w:sz w:val="20"/>
          <w:szCs w:val="20"/>
          <w:highlight w:val="none"/>
          <w:u w:val="none"/>
          <w:shd w:val="clear"/>
        </w:rPr>
        <w:t>agreed</w:t>
      </w:r>
    </w:p>
    <w:p>
      <w:pPr>
        <w:numPr>
          <w:ilvl w:val="0"/>
          <w:numId w:val="0"/>
        </w:numPr>
        <w:rPr>
          <w:rFonts w:hint="eastAsia" w:ascii="Times New Roman" w:hAnsi="Times New Roman" w:eastAsia="宋体" w:cs="Times New Roman"/>
          <w:b w:val="0"/>
          <w:bCs w:val="0"/>
          <w:sz w:val="20"/>
          <w:szCs w:val="20"/>
          <w:highlight w:val="none"/>
          <w:vertAlign w:val="baseline"/>
          <w:lang w:val="en-US" w:eastAsia="zh-CN" w:bidi="ar-SA"/>
        </w:rPr>
      </w:pPr>
    </w:p>
    <w:p>
      <w:pPr>
        <w:numPr>
          <w:ilvl w:val="0"/>
          <w:numId w:val="0"/>
        </w:numPr>
        <w:rPr>
          <w:rFonts w:hint="default"/>
          <w:kern w:val="2"/>
          <w:sz w:val="21"/>
          <w:szCs w:val="24"/>
          <w:highlight w:val="none"/>
          <w:lang w:val="en-US" w:eastAsia="zh-CN" w:bidi="ar-SA"/>
        </w:rPr>
      </w:pPr>
    </w:p>
    <w:bookmarkEnd w:id="5"/>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D4FFA"/>
    <w:multiLevelType w:val="multilevel"/>
    <w:tmpl w:val="25CD4F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D518FC"/>
    <w:rsid w:val="01E1598F"/>
    <w:rsid w:val="01F60577"/>
    <w:rsid w:val="021042F2"/>
    <w:rsid w:val="021D2604"/>
    <w:rsid w:val="02287F5E"/>
    <w:rsid w:val="022F664B"/>
    <w:rsid w:val="022F66E0"/>
    <w:rsid w:val="02366B4A"/>
    <w:rsid w:val="0238292F"/>
    <w:rsid w:val="024C13AB"/>
    <w:rsid w:val="025A02AD"/>
    <w:rsid w:val="02770F62"/>
    <w:rsid w:val="028748E0"/>
    <w:rsid w:val="02AD3D37"/>
    <w:rsid w:val="02B6644F"/>
    <w:rsid w:val="02CE3DD2"/>
    <w:rsid w:val="02DC6BBC"/>
    <w:rsid w:val="02DC755D"/>
    <w:rsid w:val="02E929C0"/>
    <w:rsid w:val="02ED1E45"/>
    <w:rsid w:val="02F356AE"/>
    <w:rsid w:val="02F95CD1"/>
    <w:rsid w:val="030C3D33"/>
    <w:rsid w:val="03183DFF"/>
    <w:rsid w:val="031E4C95"/>
    <w:rsid w:val="032E4DBB"/>
    <w:rsid w:val="032F075C"/>
    <w:rsid w:val="03332CAE"/>
    <w:rsid w:val="03343BC7"/>
    <w:rsid w:val="033A153D"/>
    <w:rsid w:val="033E7FDB"/>
    <w:rsid w:val="033F52A3"/>
    <w:rsid w:val="0354325C"/>
    <w:rsid w:val="03651217"/>
    <w:rsid w:val="03687ADD"/>
    <w:rsid w:val="036A231E"/>
    <w:rsid w:val="03774924"/>
    <w:rsid w:val="03822F79"/>
    <w:rsid w:val="03857DEE"/>
    <w:rsid w:val="039B69FD"/>
    <w:rsid w:val="03C0647A"/>
    <w:rsid w:val="03D10D94"/>
    <w:rsid w:val="03D4427A"/>
    <w:rsid w:val="040F1457"/>
    <w:rsid w:val="041875C1"/>
    <w:rsid w:val="042515D4"/>
    <w:rsid w:val="04252816"/>
    <w:rsid w:val="04376B0F"/>
    <w:rsid w:val="0444783F"/>
    <w:rsid w:val="04752193"/>
    <w:rsid w:val="04786ED3"/>
    <w:rsid w:val="048829D4"/>
    <w:rsid w:val="0494170A"/>
    <w:rsid w:val="049A50A2"/>
    <w:rsid w:val="049B2A79"/>
    <w:rsid w:val="04D73B70"/>
    <w:rsid w:val="04E13254"/>
    <w:rsid w:val="051034CD"/>
    <w:rsid w:val="051E0337"/>
    <w:rsid w:val="05376CB1"/>
    <w:rsid w:val="053E1AC2"/>
    <w:rsid w:val="05571B51"/>
    <w:rsid w:val="05583DC1"/>
    <w:rsid w:val="0563042F"/>
    <w:rsid w:val="056578E0"/>
    <w:rsid w:val="056A7AE1"/>
    <w:rsid w:val="057247C6"/>
    <w:rsid w:val="05816D10"/>
    <w:rsid w:val="05897454"/>
    <w:rsid w:val="05930F73"/>
    <w:rsid w:val="05A6080C"/>
    <w:rsid w:val="05BD1DC4"/>
    <w:rsid w:val="05BE42A5"/>
    <w:rsid w:val="05C656D6"/>
    <w:rsid w:val="05CB123A"/>
    <w:rsid w:val="05D16BC6"/>
    <w:rsid w:val="05E24768"/>
    <w:rsid w:val="05E6085F"/>
    <w:rsid w:val="05EE3B4E"/>
    <w:rsid w:val="0606469B"/>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87C9B"/>
    <w:rsid w:val="06F30672"/>
    <w:rsid w:val="06F35A7A"/>
    <w:rsid w:val="06F35AB6"/>
    <w:rsid w:val="06F66B05"/>
    <w:rsid w:val="06FF000D"/>
    <w:rsid w:val="072B7E46"/>
    <w:rsid w:val="072F2139"/>
    <w:rsid w:val="07436058"/>
    <w:rsid w:val="074664A2"/>
    <w:rsid w:val="074E566F"/>
    <w:rsid w:val="074F3DF9"/>
    <w:rsid w:val="07537C92"/>
    <w:rsid w:val="075670A4"/>
    <w:rsid w:val="077F542D"/>
    <w:rsid w:val="077F5D16"/>
    <w:rsid w:val="07817B19"/>
    <w:rsid w:val="07916BE4"/>
    <w:rsid w:val="07AA3E51"/>
    <w:rsid w:val="07B3020B"/>
    <w:rsid w:val="07DD018B"/>
    <w:rsid w:val="07E014BE"/>
    <w:rsid w:val="07E85751"/>
    <w:rsid w:val="07F3324C"/>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90F6D47"/>
    <w:rsid w:val="0935091B"/>
    <w:rsid w:val="0953050B"/>
    <w:rsid w:val="0958125A"/>
    <w:rsid w:val="09582472"/>
    <w:rsid w:val="096308E4"/>
    <w:rsid w:val="09693126"/>
    <w:rsid w:val="096B649C"/>
    <w:rsid w:val="096F1D52"/>
    <w:rsid w:val="09796C44"/>
    <w:rsid w:val="098344BC"/>
    <w:rsid w:val="09A467D0"/>
    <w:rsid w:val="09A64698"/>
    <w:rsid w:val="09A93B74"/>
    <w:rsid w:val="09AC5074"/>
    <w:rsid w:val="09AD07F3"/>
    <w:rsid w:val="09B14A34"/>
    <w:rsid w:val="09B92388"/>
    <w:rsid w:val="09C7396D"/>
    <w:rsid w:val="09D5762C"/>
    <w:rsid w:val="09DC455F"/>
    <w:rsid w:val="0A093274"/>
    <w:rsid w:val="0A187426"/>
    <w:rsid w:val="0A1C5F10"/>
    <w:rsid w:val="0A2705E1"/>
    <w:rsid w:val="0A2946F8"/>
    <w:rsid w:val="0A2A2D54"/>
    <w:rsid w:val="0A2A6A0B"/>
    <w:rsid w:val="0A312533"/>
    <w:rsid w:val="0A3A0D5D"/>
    <w:rsid w:val="0A5056C6"/>
    <w:rsid w:val="0A5060D6"/>
    <w:rsid w:val="0A7200B0"/>
    <w:rsid w:val="0A771CA5"/>
    <w:rsid w:val="0A843B9D"/>
    <w:rsid w:val="0A8621F2"/>
    <w:rsid w:val="0A875B72"/>
    <w:rsid w:val="0A8F1F9F"/>
    <w:rsid w:val="0A9B6BF5"/>
    <w:rsid w:val="0AB16DC1"/>
    <w:rsid w:val="0AB329A9"/>
    <w:rsid w:val="0ACD4245"/>
    <w:rsid w:val="0B0135A0"/>
    <w:rsid w:val="0B110AC0"/>
    <w:rsid w:val="0B1157EF"/>
    <w:rsid w:val="0B166B19"/>
    <w:rsid w:val="0B1765E0"/>
    <w:rsid w:val="0B1C1D7C"/>
    <w:rsid w:val="0B22066E"/>
    <w:rsid w:val="0B3F2432"/>
    <w:rsid w:val="0B437480"/>
    <w:rsid w:val="0B4D5218"/>
    <w:rsid w:val="0B4F1A6B"/>
    <w:rsid w:val="0B514F96"/>
    <w:rsid w:val="0B622E13"/>
    <w:rsid w:val="0B68016D"/>
    <w:rsid w:val="0B717521"/>
    <w:rsid w:val="0B8571C7"/>
    <w:rsid w:val="0B892782"/>
    <w:rsid w:val="0BAB1C77"/>
    <w:rsid w:val="0BAB61A2"/>
    <w:rsid w:val="0BB2460A"/>
    <w:rsid w:val="0BC00098"/>
    <w:rsid w:val="0BC739F0"/>
    <w:rsid w:val="0BE17727"/>
    <w:rsid w:val="0BF427F9"/>
    <w:rsid w:val="0C01460A"/>
    <w:rsid w:val="0C0C632D"/>
    <w:rsid w:val="0C1E68AF"/>
    <w:rsid w:val="0C3C0AB0"/>
    <w:rsid w:val="0C3C329C"/>
    <w:rsid w:val="0C404603"/>
    <w:rsid w:val="0C6038EF"/>
    <w:rsid w:val="0C654C73"/>
    <w:rsid w:val="0C707DD9"/>
    <w:rsid w:val="0C751214"/>
    <w:rsid w:val="0C780533"/>
    <w:rsid w:val="0C85742B"/>
    <w:rsid w:val="0C867428"/>
    <w:rsid w:val="0C873353"/>
    <w:rsid w:val="0C8B4B61"/>
    <w:rsid w:val="0CA246DB"/>
    <w:rsid w:val="0CA92BAC"/>
    <w:rsid w:val="0CB90F2E"/>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B28BC"/>
    <w:rsid w:val="0DA060E8"/>
    <w:rsid w:val="0DAE41DA"/>
    <w:rsid w:val="0DCE36F3"/>
    <w:rsid w:val="0DD017D2"/>
    <w:rsid w:val="0DD621E4"/>
    <w:rsid w:val="0DDE1317"/>
    <w:rsid w:val="0E0313B1"/>
    <w:rsid w:val="0E0D1A47"/>
    <w:rsid w:val="0E217F4D"/>
    <w:rsid w:val="0E3217E8"/>
    <w:rsid w:val="0E5E246A"/>
    <w:rsid w:val="0E5E2B07"/>
    <w:rsid w:val="0E682353"/>
    <w:rsid w:val="0E725A4B"/>
    <w:rsid w:val="0E7375AA"/>
    <w:rsid w:val="0E771E51"/>
    <w:rsid w:val="0E8118C0"/>
    <w:rsid w:val="0E9946E5"/>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B61CC"/>
    <w:rsid w:val="0F7C4621"/>
    <w:rsid w:val="0F80243B"/>
    <w:rsid w:val="0FA93791"/>
    <w:rsid w:val="0FA96CE6"/>
    <w:rsid w:val="0FAD0019"/>
    <w:rsid w:val="0FAD3299"/>
    <w:rsid w:val="0FAD5C53"/>
    <w:rsid w:val="0FB31343"/>
    <w:rsid w:val="0FC12836"/>
    <w:rsid w:val="0FD75465"/>
    <w:rsid w:val="0FD820AF"/>
    <w:rsid w:val="0FD95333"/>
    <w:rsid w:val="10045EE6"/>
    <w:rsid w:val="10077B84"/>
    <w:rsid w:val="1038744E"/>
    <w:rsid w:val="103A7991"/>
    <w:rsid w:val="10462479"/>
    <w:rsid w:val="104B2D15"/>
    <w:rsid w:val="10674DB0"/>
    <w:rsid w:val="10703CA7"/>
    <w:rsid w:val="107348F0"/>
    <w:rsid w:val="107374A2"/>
    <w:rsid w:val="107C52DA"/>
    <w:rsid w:val="10886883"/>
    <w:rsid w:val="108A2129"/>
    <w:rsid w:val="10924B2D"/>
    <w:rsid w:val="10953B42"/>
    <w:rsid w:val="109E3EFD"/>
    <w:rsid w:val="10B75DEF"/>
    <w:rsid w:val="10CB7244"/>
    <w:rsid w:val="10CC5735"/>
    <w:rsid w:val="10FA45D2"/>
    <w:rsid w:val="11024527"/>
    <w:rsid w:val="110A4489"/>
    <w:rsid w:val="110A7B8E"/>
    <w:rsid w:val="111A28E5"/>
    <w:rsid w:val="111A5F1C"/>
    <w:rsid w:val="112F54D2"/>
    <w:rsid w:val="1133321C"/>
    <w:rsid w:val="113A095B"/>
    <w:rsid w:val="114B0ABA"/>
    <w:rsid w:val="11576536"/>
    <w:rsid w:val="116E423E"/>
    <w:rsid w:val="117824F0"/>
    <w:rsid w:val="117E2370"/>
    <w:rsid w:val="11903D4B"/>
    <w:rsid w:val="11A74ED8"/>
    <w:rsid w:val="11AB343D"/>
    <w:rsid w:val="11B66269"/>
    <w:rsid w:val="11BA0839"/>
    <w:rsid w:val="11C1095C"/>
    <w:rsid w:val="11C644D2"/>
    <w:rsid w:val="11C65B40"/>
    <w:rsid w:val="11F267E8"/>
    <w:rsid w:val="11F45784"/>
    <w:rsid w:val="120430A0"/>
    <w:rsid w:val="1210456D"/>
    <w:rsid w:val="1215454B"/>
    <w:rsid w:val="121729B6"/>
    <w:rsid w:val="122C6138"/>
    <w:rsid w:val="12452498"/>
    <w:rsid w:val="12482652"/>
    <w:rsid w:val="125906DA"/>
    <w:rsid w:val="125A02CC"/>
    <w:rsid w:val="125A162C"/>
    <w:rsid w:val="12773339"/>
    <w:rsid w:val="12845278"/>
    <w:rsid w:val="128E70AD"/>
    <w:rsid w:val="12A80CD7"/>
    <w:rsid w:val="12B1068C"/>
    <w:rsid w:val="12C77089"/>
    <w:rsid w:val="12DD694C"/>
    <w:rsid w:val="12E7732F"/>
    <w:rsid w:val="12E91EAB"/>
    <w:rsid w:val="12F538D3"/>
    <w:rsid w:val="12F85F0D"/>
    <w:rsid w:val="131046DE"/>
    <w:rsid w:val="131B2229"/>
    <w:rsid w:val="131D12BF"/>
    <w:rsid w:val="132625C2"/>
    <w:rsid w:val="132A7435"/>
    <w:rsid w:val="134B6B7B"/>
    <w:rsid w:val="136B2DD6"/>
    <w:rsid w:val="137F1B10"/>
    <w:rsid w:val="1382164E"/>
    <w:rsid w:val="13893FD3"/>
    <w:rsid w:val="13AB3B97"/>
    <w:rsid w:val="13B66BD2"/>
    <w:rsid w:val="13BF66BA"/>
    <w:rsid w:val="13CD1105"/>
    <w:rsid w:val="13DC36E2"/>
    <w:rsid w:val="13FE285E"/>
    <w:rsid w:val="140E3364"/>
    <w:rsid w:val="141D4C97"/>
    <w:rsid w:val="14376920"/>
    <w:rsid w:val="14377712"/>
    <w:rsid w:val="14487346"/>
    <w:rsid w:val="144C6544"/>
    <w:rsid w:val="14812D74"/>
    <w:rsid w:val="14836C15"/>
    <w:rsid w:val="14862300"/>
    <w:rsid w:val="148E475F"/>
    <w:rsid w:val="14A0161D"/>
    <w:rsid w:val="14A745B2"/>
    <w:rsid w:val="14A82A63"/>
    <w:rsid w:val="14AC358C"/>
    <w:rsid w:val="14B76730"/>
    <w:rsid w:val="14C76321"/>
    <w:rsid w:val="14DA1F29"/>
    <w:rsid w:val="14DE753E"/>
    <w:rsid w:val="151B0462"/>
    <w:rsid w:val="151C45D8"/>
    <w:rsid w:val="15290336"/>
    <w:rsid w:val="152C4206"/>
    <w:rsid w:val="154B0BD1"/>
    <w:rsid w:val="155B1745"/>
    <w:rsid w:val="155F651D"/>
    <w:rsid w:val="15655F19"/>
    <w:rsid w:val="156C6AE6"/>
    <w:rsid w:val="157348EB"/>
    <w:rsid w:val="15787FE5"/>
    <w:rsid w:val="157E21FE"/>
    <w:rsid w:val="159C4624"/>
    <w:rsid w:val="15AA7A19"/>
    <w:rsid w:val="15AC5259"/>
    <w:rsid w:val="15B06B12"/>
    <w:rsid w:val="15B75E63"/>
    <w:rsid w:val="15BE3D9D"/>
    <w:rsid w:val="15D4474D"/>
    <w:rsid w:val="15D7597F"/>
    <w:rsid w:val="161148FF"/>
    <w:rsid w:val="161C3234"/>
    <w:rsid w:val="162C3673"/>
    <w:rsid w:val="1641433F"/>
    <w:rsid w:val="164D07B1"/>
    <w:rsid w:val="165C4863"/>
    <w:rsid w:val="165D709B"/>
    <w:rsid w:val="1663476A"/>
    <w:rsid w:val="166C0D1B"/>
    <w:rsid w:val="167344C7"/>
    <w:rsid w:val="16785CC6"/>
    <w:rsid w:val="16794785"/>
    <w:rsid w:val="167E6B25"/>
    <w:rsid w:val="16857D28"/>
    <w:rsid w:val="169F5699"/>
    <w:rsid w:val="16A65B92"/>
    <w:rsid w:val="16AD0A57"/>
    <w:rsid w:val="16BA18A0"/>
    <w:rsid w:val="16C41FCF"/>
    <w:rsid w:val="16E7220A"/>
    <w:rsid w:val="16E828D5"/>
    <w:rsid w:val="170133DA"/>
    <w:rsid w:val="170259E1"/>
    <w:rsid w:val="170353FD"/>
    <w:rsid w:val="170A5A0F"/>
    <w:rsid w:val="171053FC"/>
    <w:rsid w:val="17360410"/>
    <w:rsid w:val="17382580"/>
    <w:rsid w:val="174D4FB2"/>
    <w:rsid w:val="175E4288"/>
    <w:rsid w:val="17844C56"/>
    <w:rsid w:val="178872FB"/>
    <w:rsid w:val="17923510"/>
    <w:rsid w:val="179620A9"/>
    <w:rsid w:val="17A30F12"/>
    <w:rsid w:val="17BA0091"/>
    <w:rsid w:val="17BA48D6"/>
    <w:rsid w:val="17CB4744"/>
    <w:rsid w:val="17D77CA7"/>
    <w:rsid w:val="17DD34AB"/>
    <w:rsid w:val="17E0275E"/>
    <w:rsid w:val="17FE0B0A"/>
    <w:rsid w:val="17FE0C9F"/>
    <w:rsid w:val="17FF3C9D"/>
    <w:rsid w:val="180403CD"/>
    <w:rsid w:val="18143F33"/>
    <w:rsid w:val="181F32EB"/>
    <w:rsid w:val="18235E85"/>
    <w:rsid w:val="183D25D7"/>
    <w:rsid w:val="183E1C33"/>
    <w:rsid w:val="18426F6F"/>
    <w:rsid w:val="18582084"/>
    <w:rsid w:val="18661865"/>
    <w:rsid w:val="186C1D49"/>
    <w:rsid w:val="187640ED"/>
    <w:rsid w:val="18764982"/>
    <w:rsid w:val="18804AA7"/>
    <w:rsid w:val="18A16B9A"/>
    <w:rsid w:val="18AD2FF1"/>
    <w:rsid w:val="18B417E1"/>
    <w:rsid w:val="18E872D7"/>
    <w:rsid w:val="18F931E6"/>
    <w:rsid w:val="18FA042B"/>
    <w:rsid w:val="18FB4EEC"/>
    <w:rsid w:val="18FE4771"/>
    <w:rsid w:val="19046384"/>
    <w:rsid w:val="190D3A33"/>
    <w:rsid w:val="19104EB5"/>
    <w:rsid w:val="19200B97"/>
    <w:rsid w:val="19236479"/>
    <w:rsid w:val="19267DCF"/>
    <w:rsid w:val="192A5704"/>
    <w:rsid w:val="192F0B98"/>
    <w:rsid w:val="193510F8"/>
    <w:rsid w:val="193F4348"/>
    <w:rsid w:val="19537076"/>
    <w:rsid w:val="19564B19"/>
    <w:rsid w:val="195F336A"/>
    <w:rsid w:val="196A0432"/>
    <w:rsid w:val="19720BF1"/>
    <w:rsid w:val="198250B7"/>
    <w:rsid w:val="198374F4"/>
    <w:rsid w:val="1989194D"/>
    <w:rsid w:val="19A42D0C"/>
    <w:rsid w:val="19A7296F"/>
    <w:rsid w:val="19B94DE5"/>
    <w:rsid w:val="19BB7983"/>
    <w:rsid w:val="19C06C47"/>
    <w:rsid w:val="19CB713F"/>
    <w:rsid w:val="19D52159"/>
    <w:rsid w:val="19D76F77"/>
    <w:rsid w:val="19DE7440"/>
    <w:rsid w:val="19F300AD"/>
    <w:rsid w:val="19FB3286"/>
    <w:rsid w:val="1A004DC4"/>
    <w:rsid w:val="1A1C2D1C"/>
    <w:rsid w:val="1A445707"/>
    <w:rsid w:val="1A4E0C59"/>
    <w:rsid w:val="1A5F7253"/>
    <w:rsid w:val="1A725418"/>
    <w:rsid w:val="1A7A2EF9"/>
    <w:rsid w:val="1A7F4EDC"/>
    <w:rsid w:val="1A960E81"/>
    <w:rsid w:val="1A970A0F"/>
    <w:rsid w:val="1A98717E"/>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3AC1"/>
    <w:rsid w:val="1B5D3106"/>
    <w:rsid w:val="1B7567A5"/>
    <w:rsid w:val="1B7624D3"/>
    <w:rsid w:val="1B7906CE"/>
    <w:rsid w:val="1B7B48C4"/>
    <w:rsid w:val="1B7D07F3"/>
    <w:rsid w:val="1B831B2B"/>
    <w:rsid w:val="1B9C7F6A"/>
    <w:rsid w:val="1BA57F07"/>
    <w:rsid w:val="1BAA278D"/>
    <w:rsid w:val="1BB843C7"/>
    <w:rsid w:val="1BB848C7"/>
    <w:rsid w:val="1BD91032"/>
    <w:rsid w:val="1BDA7509"/>
    <w:rsid w:val="1BE3376D"/>
    <w:rsid w:val="1C0142E9"/>
    <w:rsid w:val="1C0D60C9"/>
    <w:rsid w:val="1C1A1226"/>
    <w:rsid w:val="1C1D5530"/>
    <w:rsid w:val="1C2843FD"/>
    <w:rsid w:val="1C2867D0"/>
    <w:rsid w:val="1C287EC8"/>
    <w:rsid w:val="1C33796F"/>
    <w:rsid w:val="1C4066DA"/>
    <w:rsid w:val="1C441419"/>
    <w:rsid w:val="1C490974"/>
    <w:rsid w:val="1C561E66"/>
    <w:rsid w:val="1C6D4144"/>
    <w:rsid w:val="1C7240E4"/>
    <w:rsid w:val="1C793EB9"/>
    <w:rsid w:val="1C807142"/>
    <w:rsid w:val="1C9A166E"/>
    <w:rsid w:val="1CB702E9"/>
    <w:rsid w:val="1CBE5026"/>
    <w:rsid w:val="1CD448A4"/>
    <w:rsid w:val="1CDF1178"/>
    <w:rsid w:val="1CF24C00"/>
    <w:rsid w:val="1CF333A5"/>
    <w:rsid w:val="1D0A2F0E"/>
    <w:rsid w:val="1D0B731D"/>
    <w:rsid w:val="1D1A637D"/>
    <w:rsid w:val="1D1B7AB6"/>
    <w:rsid w:val="1D1F14B4"/>
    <w:rsid w:val="1D2054C4"/>
    <w:rsid w:val="1D394C5C"/>
    <w:rsid w:val="1D3E4BF3"/>
    <w:rsid w:val="1D563E2F"/>
    <w:rsid w:val="1D6F79AF"/>
    <w:rsid w:val="1D73545D"/>
    <w:rsid w:val="1D774453"/>
    <w:rsid w:val="1D8F5B72"/>
    <w:rsid w:val="1D8F6826"/>
    <w:rsid w:val="1D9966AE"/>
    <w:rsid w:val="1D9C5DA0"/>
    <w:rsid w:val="1D9F462B"/>
    <w:rsid w:val="1DA265B5"/>
    <w:rsid w:val="1DB41DD8"/>
    <w:rsid w:val="1DB52D17"/>
    <w:rsid w:val="1DD315DC"/>
    <w:rsid w:val="1DE11462"/>
    <w:rsid w:val="1DEC45ED"/>
    <w:rsid w:val="1DF475BE"/>
    <w:rsid w:val="1E224747"/>
    <w:rsid w:val="1E3039BD"/>
    <w:rsid w:val="1E304B88"/>
    <w:rsid w:val="1E3468B5"/>
    <w:rsid w:val="1E3E02E7"/>
    <w:rsid w:val="1E4F3D0B"/>
    <w:rsid w:val="1E595E59"/>
    <w:rsid w:val="1E5B40F5"/>
    <w:rsid w:val="1E626388"/>
    <w:rsid w:val="1E680B85"/>
    <w:rsid w:val="1E904AE0"/>
    <w:rsid w:val="1E99686D"/>
    <w:rsid w:val="1E9D55A8"/>
    <w:rsid w:val="1EA13E87"/>
    <w:rsid w:val="1EA20257"/>
    <w:rsid w:val="1EC11B39"/>
    <w:rsid w:val="1ED94E25"/>
    <w:rsid w:val="1EDB6C5F"/>
    <w:rsid w:val="1EE6740D"/>
    <w:rsid w:val="1F12618D"/>
    <w:rsid w:val="1F141EF2"/>
    <w:rsid w:val="1F174394"/>
    <w:rsid w:val="1F2E0757"/>
    <w:rsid w:val="1F3C6AF7"/>
    <w:rsid w:val="1F405E44"/>
    <w:rsid w:val="1F43792F"/>
    <w:rsid w:val="1F4E681F"/>
    <w:rsid w:val="1F5324C1"/>
    <w:rsid w:val="1F5914BB"/>
    <w:rsid w:val="1F6833F6"/>
    <w:rsid w:val="1F7959F4"/>
    <w:rsid w:val="1F7C19E4"/>
    <w:rsid w:val="1F83562C"/>
    <w:rsid w:val="1F897A19"/>
    <w:rsid w:val="1F925D84"/>
    <w:rsid w:val="1F98282B"/>
    <w:rsid w:val="1FA21D33"/>
    <w:rsid w:val="1FAC7267"/>
    <w:rsid w:val="1FBD7AAE"/>
    <w:rsid w:val="1FBE77B2"/>
    <w:rsid w:val="1FC16F53"/>
    <w:rsid w:val="1FC26AB9"/>
    <w:rsid w:val="1FC26EE2"/>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F7CD5"/>
    <w:rsid w:val="207004A0"/>
    <w:rsid w:val="20722515"/>
    <w:rsid w:val="20934FE0"/>
    <w:rsid w:val="209A17A4"/>
    <w:rsid w:val="20A70ABE"/>
    <w:rsid w:val="20B836F9"/>
    <w:rsid w:val="20C10077"/>
    <w:rsid w:val="20C261C8"/>
    <w:rsid w:val="20C96FD1"/>
    <w:rsid w:val="20D562D7"/>
    <w:rsid w:val="20DB619E"/>
    <w:rsid w:val="20E35BDE"/>
    <w:rsid w:val="20E9348D"/>
    <w:rsid w:val="20F667B9"/>
    <w:rsid w:val="210D2CDA"/>
    <w:rsid w:val="212B41B7"/>
    <w:rsid w:val="212C33D3"/>
    <w:rsid w:val="212F6A59"/>
    <w:rsid w:val="21306305"/>
    <w:rsid w:val="213D54AD"/>
    <w:rsid w:val="214169BB"/>
    <w:rsid w:val="215425D1"/>
    <w:rsid w:val="217C7971"/>
    <w:rsid w:val="217D44BC"/>
    <w:rsid w:val="21997056"/>
    <w:rsid w:val="219D3F2A"/>
    <w:rsid w:val="21AB77F7"/>
    <w:rsid w:val="21AE6C58"/>
    <w:rsid w:val="21BF03BC"/>
    <w:rsid w:val="21C1419B"/>
    <w:rsid w:val="21CC0944"/>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A008B"/>
    <w:rsid w:val="229A7E25"/>
    <w:rsid w:val="22B059F5"/>
    <w:rsid w:val="22BD504B"/>
    <w:rsid w:val="22BD60DA"/>
    <w:rsid w:val="22D61781"/>
    <w:rsid w:val="22F017B2"/>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10C65"/>
    <w:rsid w:val="23A77EB0"/>
    <w:rsid w:val="23AE7681"/>
    <w:rsid w:val="23BD6F6C"/>
    <w:rsid w:val="23C80F4A"/>
    <w:rsid w:val="23D33566"/>
    <w:rsid w:val="23D9762E"/>
    <w:rsid w:val="23E014C7"/>
    <w:rsid w:val="24137B5B"/>
    <w:rsid w:val="24176341"/>
    <w:rsid w:val="24211333"/>
    <w:rsid w:val="242461D7"/>
    <w:rsid w:val="242C04D9"/>
    <w:rsid w:val="242E2FF6"/>
    <w:rsid w:val="242E7ECB"/>
    <w:rsid w:val="2442772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FA48AB"/>
    <w:rsid w:val="260B255C"/>
    <w:rsid w:val="26217848"/>
    <w:rsid w:val="2623781F"/>
    <w:rsid w:val="262C5AB1"/>
    <w:rsid w:val="262E20E8"/>
    <w:rsid w:val="2640682F"/>
    <w:rsid w:val="26424215"/>
    <w:rsid w:val="26492700"/>
    <w:rsid w:val="264C23B4"/>
    <w:rsid w:val="264C5DB6"/>
    <w:rsid w:val="26510DB8"/>
    <w:rsid w:val="26667EB2"/>
    <w:rsid w:val="266B1FB8"/>
    <w:rsid w:val="26724E2D"/>
    <w:rsid w:val="267E518B"/>
    <w:rsid w:val="268006C9"/>
    <w:rsid w:val="26872779"/>
    <w:rsid w:val="26887E46"/>
    <w:rsid w:val="268A2E9D"/>
    <w:rsid w:val="269B3F13"/>
    <w:rsid w:val="26A4288C"/>
    <w:rsid w:val="26B47DF5"/>
    <w:rsid w:val="26BA188E"/>
    <w:rsid w:val="26C36DE5"/>
    <w:rsid w:val="26E430BF"/>
    <w:rsid w:val="26EF7250"/>
    <w:rsid w:val="26F24BA7"/>
    <w:rsid w:val="26F40E3F"/>
    <w:rsid w:val="26F40EBD"/>
    <w:rsid w:val="271B73E8"/>
    <w:rsid w:val="272A3F42"/>
    <w:rsid w:val="27454ADE"/>
    <w:rsid w:val="274A7B1A"/>
    <w:rsid w:val="274B31A3"/>
    <w:rsid w:val="27535406"/>
    <w:rsid w:val="275439E1"/>
    <w:rsid w:val="2757788C"/>
    <w:rsid w:val="27622E79"/>
    <w:rsid w:val="276320D7"/>
    <w:rsid w:val="276B7652"/>
    <w:rsid w:val="27874024"/>
    <w:rsid w:val="279408D2"/>
    <w:rsid w:val="27AB4954"/>
    <w:rsid w:val="27B02558"/>
    <w:rsid w:val="27B7576A"/>
    <w:rsid w:val="27B91021"/>
    <w:rsid w:val="27C06D17"/>
    <w:rsid w:val="27E414A5"/>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E25D89"/>
    <w:rsid w:val="28F95F71"/>
    <w:rsid w:val="291712DF"/>
    <w:rsid w:val="29192BE8"/>
    <w:rsid w:val="292A3025"/>
    <w:rsid w:val="292A375F"/>
    <w:rsid w:val="29316984"/>
    <w:rsid w:val="2938092A"/>
    <w:rsid w:val="293966D9"/>
    <w:rsid w:val="2939696A"/>
    <w:rsid w:val="2946144E"/>
    <w:rsid w:val="294A5BC8"/>
    <w:rsid w:val="297D4D00"/>
    <w:rsid w:val="297E1947"/>
    <w:rsid w:val="29886998"/>
    <w:rsid w:val="298E034A"/>
    <w:rsid w:val="29981CF5"/>
    <w:rsid w:val="29A4634A"/>
    <w:rsid w:val="29A84DD1"/>
    <w:rsid w:val="29CD2270"/>
    <w:rsid w:val="29EB2226"/>
    <w:rsid w:val="29EB2636"/>
    <w:rsid w:val="29F05AB1"/>
    <w:rsid w:val="29F26903"/>
    <w:rsid w:val="2A016C34"/>
    <w:rsid w:val="2A0B58C8"/>
    <w:rsid w:val="2A205794"/>
    <w:rsid w:val="2A312BD2"/>
    <w:rsid w:val="2A3B063B"/>
    <w:rsid w:val="2A49761F"/>
    <w:rsid w:val="2A630308"/>
    <w:rsid w:val="2A676AD0"/>
    <w:rsid w:val="2A687AA6"/>
    <w:rsid w:val="2A770CC7"/>
    <w:rsid w:val="2A894A3C"/>
    <w:rsid w:val="2A9A66D4"/>
    <w:rsid w:val="2AAC36BD"/>
    <w:rsid w:val="2AB04937"/>
    <w:rsid w:val="2ACF5AEC"/>
    <w:rsid w:val="2AD62AB0"/>
    <w:rsid w:val="2ADE1583"/>
    <w:rsid w:val="2AE70523"/>
    <w:rsid w:val="2B1730AF"/>
    <w:rsid w:val="2B2D1363"/>
    <w:rsid w:val="2B42025A"/>
    <w:rsid w:val="2B450516"/>
    <w:rsid w:val="2B4659F4"/>
    <w:rsid w:val="2B592A46"/>
    <w:rsid w:val="2B686C09"/>
    <w:rsid w:val="2B6B7E5F"/>
    <w:rsid w:val="2B8B34AB"/>
    <w:rsid w:val="2B914C5E"/>
    <w:rsid w:val="2B942032"/>
    <w:rsid w:val="2B9462E8"/>
    <w:rsid w:val="2B9B4A87"/>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934523"/>
    <w:rsid w:val="2CBC4209"/>
    <w:rsid w:val="2CDC7091"/>
    <w:rsid w:val="2CE02035"/>
    <w:rsid w:val="2CE71ADE"/>
    <w:rsid w:val="2CF5280F"/>
    <w:rsid w:val="2D0B5D0E"/>
    <w:rsid w:val="2D0E231B"/>
    <w:rsid w:val="2D0F5357"/>
    <w:rsid w:val="2D1A1A6B"/>
    <w:rsid w:val="2D1A4915"/>
    <w:rsid w:val="2D2E7DAF"/>
    <w:rsid w:val="2D400A9F"/>
    <w:rsid w:val="2D41790C"/>
    <w:rsid w:val="2D492622"/>
    <w:rsid w:val="2D5B46E0"/>
    <w:rsid w:val="2D8E71C5"/>
    <w:rsid w:val="2DBF0C3E"/>
    <w:rsid w:val="2DBF1601"/>
    <w:rsid w:val="2DBF4C3A"/>
    <w:rsid w:val="2DE653DD"/>
    <w:rsid w:val="2DEE7728"/>
    <w:rsid w:val="2DF04CFF"/>
    <w:rsid w:val="2DF6091F"/>
    <w:rsid w:val="2DF77C3F"/>
    <w:rsid w:val="2DF94438"/>
    <w:rsid w:val="2DFA6574"/>
    <w:rsid w:val="2E036A74"/>
    <w:rsid w:val="2E040A80"/>
    <w:rsid w:val="2E095C19"/>
    <w:rsid w:val="2E0F3A78"/>
    <w:rsid w:val="2E1530A6"/>
    <w:rsid w:val="2E190FE7"/>
    <w:rsid w:val="2E1C45B9"/>
    <w:rsid w:val="2E2569A5"/>
    <w:rsid w:val="2E2630D7"/>
    <w:rsid w:val="2E2806DD"/>
    <w:rsid w:val="2E2A4425"/>
    <w:rsid w:val="2E42037F"/>
    <w:rsid w:val="2E526DDB"/>
    <w:rsid w:val="2E705752"/>
    <w:rsid w:val="2E8B189A"/>
    <w:rsid w:val="2EA26ABE"/>
    <w:rsid w:val="2EB61295"/>
    <w:rsid w:val="2EC551E0"/>
    <w:rsid w:val="2EEA307E"/>
    <w:rsid w:val="2EF1285C"/>
    <w:rsid w:val="2EF53C20"/>
    <w:rsid w:val="2EFC5DDD"/>
    <w:rsid w:val="2F002CCF"/>
    <w:rsid w:val="2F0160A3"/>
    <w:rsid w:val="2F0369A7"/>
    <w:rsid w:val="2F1321E2"/>
    <w:rsid w:val="2F2960CC"/>
    <w:rsid w:val="2F2F3D52"/>
    <w:rsid w:val="2F3B7B8B"/>
    <w:rsid w:val="2F413FCC"/>
    <w:rsid w:val="2F805714"/>
    <w:rsid w:val="2F8A44C8"/>
    <w:rsid w:val="2FA050DF"/>
    <w:rsid w:val="2FA21231"/>
    <w:rsid w:val="2FA77032"/>
    <w:rsid w:val="2FAD4759"/>
    <w:rsid w:val="2FB874A3"/>
    <w:rsid w:val="2FCA0967"/>
    <w:rsid w:val="2FD63575"/>
    <w:rsid w:val="2FF117AD"/>
    <w:rsid w:val="2FF46AA2"/>
    <w:rsid w:val="2FF95633"/>
    <w:rsid w:val="300E562F"/>
    <w:rsid w:val="300F7F13"/>
    <w:rsid w:val="301E3C00"/>
    <w:rsid w:val="302F745A"/>
    <w:rsid w:val="30500A5C"/>
    <w:rsid w:val="30752E77"/>
    <w:rsid w:val="307D3C8C"/>
    <w:rsid w:val="3090288F"/>
    <w:rsid w:val="309B0CFB"/>
    <w:rsid w:val="309E4272"/>
    <w:rsid w:val="309F3DE8"/>
    <w:rsid w:val="30B507CA"/>
    <w:rsid w:val="30B972E9"/>
    <w:rsid w:val="30D70419"/>
    <w:rsid w:val="30DC45E8"/>
    <w:rsid w:val="30DD6027"/>
    <w:rsid w:val="30DE16AB"/>
    <w:rsid w:val="30E006B8"/>
    <w:rsid w:val="30E606B0"/>
    <w:rsid w:val="30F44A95"/>
    <w:rsid w:val="30FA21D8"/>
    <w:rsid w:val="310008EF"/>
    <w:rsid w:val="311D5B14"/>
    <w:rsid w:val="316340CC"/>
    <w:rsid w:val="31636EC0"/>
    <w:rsid w:val="31647576"/>
    <w:rsid w:val="31665E5D"/>
    <w:rsid w:val="316D6950"/>
    <w:rsid w:val="31822EAF"/>
    <w:rsid w:val="31824C36"/>
    <w:rsid w:val="31A53A0B"/>
    <w:rsid w:val="31A62C67"/>
    <w:rsid w:val="31B23BA8"/>
    <w:rsid w:val="31CA5CF8"/>
    <w:rsid w:val="31CB26CD"/>
    <w:rsid w:val="31CD0EA2"/>
    <w:rsid w:val="31D06A52"/>
    <w:rsid w:val="31EC5343"/>
    <w:rsid w:val="31F20023"/>
    <w:rsid w:val="31FB60C5"/>
    <w:rsid w:val="321F6776"/>
    <w:rsid w:val="32225D9C"/>
    <w:rsid w:val="32226597"/>
    <w:rsid w:val="323F639C"/>
    <w:rsid w:val="324968A9"/>
    <w:rsid w:val="324A0D94"/>
    <w:rsid w:val="325E42D7"/>
    <w:rsid w:val="327E6AD8"/>
    <w:rsid w:val="32933CDD"/>
    <w:rsid w:val="32946A84"/>
    <w:rsid w:val="329C7674"/>
    <w:rsid w:val="32B32BB0"/>
    <w:rsid w:val="32B63BDE"/>
    <w:rsid w:val="32BC6631"/>
    <w:rsid w:val="32CD5F37"/>
    <w:rsid w:val="32D14A7F"/>
    <w:rsid w:val="32D967AA"/>
    <w:rsid w:val="32E370FB"/>
    <w:rsid w:val="32F86450"/>
    <w:rsid w:val="330244A4"/>
    <w:rsid w:val="331C390F"/>
    <w:rsid w:val="332F1842"/>
    <w:rsid w:val="333A7406"/>
    <w:rsid w:val="33610DDA"/>
    <w:rsid w:val="336A6E09"/>
    <w:rsid w:val="33767D1F"/>
    <w:rsid w:val="337F446B"/>
    <w:rsid w:val="33973BAB"/>
    <w:rsid w:val="33A156DE"/>
    <w:rsid w:val="33B70359"/>
    <w:rsid w:val="33BA1B32"/>
    <w:rsid w:val="33C30B28"/>
    <w:rsid w:val="33E20DF0"/>
    <w:rsid w:val="33EE7C66"/>
    <w:rsid w:val="34087429"/>
    <w:rsid w:val="340A1E27"/>
    <w:rsid w:val="341315B5"/>
    <w:rsid w:val="34147AA7"/>
    <w:rsid w:val="342D3CE2"/>
    <w:rsid w:val="34347DC5"/>
    <w:rsid w:val="343B6293"/>
    <w:rsid w:val="34463967"/>
    <w:rsid w:val="345543D1"/>
    <w:rsid w:val="345A7367"/>
    <w:rsid w:val="345D2CD0"/>
    <w:rsid w:val="346C0AEA"/>
    <w:rsid w:val="347F540F"/>
    <w:rsid w:val="34846B2B"/>
    <w:rsid w:val="349A0B7D"/>
    <w:rsid w:val="34A22FD2"/>
    <w:rsid w:val="34AD7FEE"/>
    <w:rsid w:val="34B31300"/>
    <w:rsid w:val="34B51A96"/>
    <w:rsid w:val="34DB0CAC"/>
    <w:rsid w:val="34E972FC"/>
    <w:rsid w:val="34EB0B78"/>
    <w:rsid w:val="34FF2166"/>
    <w:rsid w:val="35121D8D"/>
    <w:rsid w:val="35333FF2"/>
    <w:rsid w:val="35373169"/>
    <w:rsid w:val="353E791E"/>
    <w:rsid w:val="354008AB"/>
    <w:rsid w:val="354C7B38"/>
    <w:rsid w:val="354F28B8"/>
    <w:rsid w:val="35502A18"/>
    <w:rsid w:val="355D687A"/>
    <w:rsid w:val="35654D30"/>
    <w:rsid w:val="356C6BD5"/>
    <w:rsid w:val="356D58B9"/>
    <w:rsid w:val="35744059"/>
    <w:rsid w:val="35757167"/>
    <w:rsid w:val="35771AC2"/>
    <w:rsid w:val="357960B4"/>
    <w:rsid w:val="357B47F4"/>
    <w:rsid w:val="357C4581"/>
    <w:rsid w:val="35987C6F"/>
    <w:rsid w:val="35994F23"/>
    <w:rsid w:val="35A0338E"/>
    <w:rsid w:val="35A31A0A"/>
    <w:rsid w:val="35AB5D7D"/>
    <w:rsid w:val="35C154C0"/>
    <w:rsid w:val="35C7584B"/>
    <w:rsid w:val="35D535F5"/>
    <w:rsid w:val="35DD2AEE"/>
    <w:rsid w:val="35E45BE2"/>
    <w:rsid w:val="35EA6509"/>
    <w:rsid w:val="35F44E5C"/>
    <w:rsid w:val="35F45994"/>
    <w:rsid w:val="3602050E"/>
    <w:rsid w:val="36101A49"/>
    <w:rsid w:val="361559FF"/>
    <w:rsid w:val="36265F04"/>
    <w:rsid w:val="36267CE0"/>
    <w:rsid w:val="36284700"/>
    <w:rsid w:val="36351635"/>
    <w:rsid w:val="363F4D43"/>
    <w:rsid w:val="36450FC7"/>
    <w:rsid w:val="36583E87"/>
    <w:rsid w:val="36627C0A"/>
    <w:rsid w:val="36693B36"/>
    <w:rsid w:val="366B0AAA"/>
    <w:rsid w:val="36752210"/>
    <w:rsid w:val="36922B55"/>
    <w:rsid w:val="36991125"/>
    <w:rsid w:val="369F5349"/>
    <w:rsid w:val="36A0773E"/>
    <w:rsid w:val="36A20016"/>
    <w:rsid w:val="36B121C7"/>
    <w:rsid w:val="36D27C18"/>
    <w:rsid w:val="36D512A9"/>
    <w:rsid w:val="36DF1B2B"/>
    <w:rsid w:val="36F414F3"/>
    <w:rsid w:val="36FB118C"/>
    <w:rsid w:val="37084836"/>
    <w:rsid w:val="370974B4"/>
    <w:rsid w:val="371978B1"/>
    <w:rsid w:val="371E6151"/>
    <w:rsid w:val="37277663"/>
    <w:rsid w:val="373534DE"/>
    <w:rsid w:val="37357964"/>
    <w:rsid w:val="373D656F"/>
    <w:rsid w:val="37446333"/>
    <w:rsid w:val="37446A77"/>
    <w:rsid w:val="37897DAC"/>
    <w:rsid w:val="378A731A"/>
    <w:rsid w:val="378E3617"/>
    <w:rsid w:val="37931A90"/>
    <w:rsid w:val="37A4082B"/>
    <w:rsid w:val="37A4627C"/>
    <w:rsid w:val="37A530D5"/>
    <w:rsid w:val="37B5292C"/>
    <w:rsid w:val="37BA6351"/>
    <w:rsid w:val="37C93B72"/>
    <w:rsid w:val="37D74A0A"/>
    <w:rsid w:val="37F311D3"/>
    <w:rsid w:val="37F7242F"/>
    <w:rsid w:val="37FE3BCF"/>
    <w:rsid w:val="380579FE"/>
    <w:rsid w:val="382150C9"/>
    <w:rsid w:val="38284CDE"/>
    <w:rsid w:val="382F19E6"/>
    <w:rsid w:val="383B2EED"/>
    <w:rsid w:val="384C2D57"/>
    <w:rsid w:val="385324F7"/>
    <w:rsid w:val="386A1921"/>
    <w:rsid w:val="38894DA5"/>
    <w:rsid w:val="38981AB5"/>
    <w:rsid w:val="38A40C18"/>
    <w:rsid w:val="38AB306B"/>
    <w:rsid w:val="38B81CDC"/>
    <w:rsid w:val="38BF2270"/>
    <w:rsid w:val="38C33701"/>
    <w:rsid w:val="38C43916"/>
    <w:rsid w:val="38D504F4"/>
    <w:rsid w:val="38D95A84"/>
    <w:rsid w:val="38E11AA1"/>
    <w:rsid w:val="38E13EB8"/>
    <w:rsid w:val="38E46191"/>
    <w:rsid w:val="38E60A5A"/>
    <w:rsid w:val="38F50C85"/>
    <w:rsid w:val="39325471"/>
    <w:rsid w:val="393544DD"/>
    <w:rsid w:val="393962EC"/>
    <w:rsid w:val="394935B8"/>
    <w:rsid w:val="394B1100"/>
    <w:rsid w:val="394C557A"/>
    <w:rsid w:val="3952190F"/>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A151AE4"/>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214EB"/>
    <w:rsid w:val="3ADF1877"/>
    <w:rsid w:val="3AFD37D0"/>
    <w:rsid w:val="3B016EE9"/>
    <w:rsid w:val="3B3A132E"/>
    <w:rsid w:val="3B456D7F"/>
    <w:rsid w:val="3B5E261D"/>
    <w:rsid w:val="3B616FBE"/>
    <w:rsid w:val="3B6F5B73"/>
    <w:rsid w:val="3B7B1D0B"/>
    <w:rsid w:val="3B7D34B3"/>
    <w:rsid w:val="3B873119"/>
    <w:rsid w:val="3BA35FC1"/>
    <w:rsid w:val="3BA566FD"/>
    <w:rsid w:val="3BAC7316"/>
    <w:rsid w:val="3BAD1DF3"/>
    <w:rsid w:val="3BB1693A"/>
    <w:rsid w:val="3BB47D9F"/>
    <w:rsid w:val="3BEB0F88"/>
    <w:rsid w:val="3BF10AAD"/>
    <w:rsid w:val="3BF85F82"/>
    <w:rsid w:val="3C070D59"/>
    <w:rsid w:val="3C0F1954"/>
    <w:rsid w:val="3C1E391D"/>
    <w:rsid w:val="3C205B4F"/>
    <w:rsid w:val="3C226A06"/>
    <w:rsid w:val="3C294498"/>
    <w:rsid w:val="3C333216"/>
    <w:rsid w:val="3C36018F"/>
    <w:rsid w:val="3C3B3A12"/>
    <w:rsid w:val="3C4D528C"/>
    <w:rsid w:val="3C4F7D80"/>
    <w:rsid w:val="3C5A669F"/>
    <w:rsid w:val="3C64689F"/>
    <w:rsid w:val="3C6B0D34"/>
    <w:rsid w:val="3C70592D"/>
    <w:rsid w:val="3C740DAA"/>
    <w:rsid w:val="3C7E65EC"/>
    <w:rsid w:val="3C812838"/>
    <w:rsid w:val="3C9E64A0"/>
    <w:rsid w:val="3CA70FAC"/>
    <w:rsid w:val="3CAA38C3"/>
    <w:rsid w:val="3CB36CF4"/>
    <w:rsid w:val="3CBA78F5"/>
    <w:rsid w:val="3CC066E1"/>
    <w:rsid w:val="3CC26B63"/>
    <w:rsid w:val="3CCD4EDF"/>
    <w:rsid w:val="3CD71E34"/>
    <w:rsid w:val="3CD9009D"/>
    <w:rsid w:val="3CDE20AF"/>
    <w:rsid w:val="3CE11AAD"/>
    <w:rsid w:val="3CE54B9F"/>
    <w:rsid w:val="3CF772DA"/>
    <w:rsid w:val="3D1665B9"/>
    <w:rsid w:val="3D272F24"/>
    <w:rsid w:val="3D5274C5"/>
    <w:rsid w:val="3D58163A"/>
    <w:rsid w:val="3D5A05E2"/>
    <w:rsid w:val="3D5B5B36"/>
    <w:rsid w:val="3D5C63D4"/>
    <w:rsid w:val="3D7618FA"/>
    <w:rsid w:val="3D791797"/>
    <w:rsid w:val="3D7B0528"/>
    <w:rsid w:val="3D836C7C"/>
    <w:rsid w:val="3D8522AA"/>
    <w:rsid w:val="3D8742F7"/>
    <w:rsid w:val="3D9A0655"/>
    <w:rsid w:val="3DA02B82"/>
    <w:rsid w:val="3DB6421C"/>
    <w:rsid w:val="3DC46187"/>
    <w:rsid w:val="3DE548AC"/>
    <w:rsid w:val="3DE653F8"/>
    <w:rsid w:val="3DE72673"/>
    <w:rsid w:val="3DE82113"/>
    <w:rsid w:val="3DEB1255"/>
    <w:rsid w:val="3E0F25EA"/>
    <w:rsid w:val="3E146F59"/>
    <w:rsid w:val="3E1524DD"/>
    <w:rsid w:val="3E237BCC"/>
    <w:rsid w:val="3E3419DC"/>
    <w:rsid w:val="3E623E46"/>
    <w:rsid w:val="3E7A1C88"/>
    <w:rsid w:val="3E8B095A"/>
    <w:rsid w:val="3E8E6C82"/>
    <w:rsid w:val="3E943FDD"/>
    <w:rsid w:val="3E9A19C5"/>
    <w:rsid w:val="3EAC3BDD"/>
    <w:rsid w:val="3EB767A1"/>
    <w:rsid w:val="3EBA3D23"/>
    <w:rsid w:val="3ECF0F50"/>
    <w:rsid w:val="3ECF234A"/>
    <w:rsid w:val="3ED671CD"/>
    <w:rsid w:val="3EE14A57"/>
    <w:rsid w:val="3EE21263"/>
    <w:rsid w:val="3EF07E03"/>
    <w:rsid w:val="3F144192"/>
    <w:rsid w:val="3F211701"/>
    <w:rsid w:val="3F275331"/>
    <w:rsid w:val="3F330353"/>
    <w:rsid w:val="3F676DC2"/>
    <w:rsid w:val="3F8B5804"/>
    <w:rsid w:val="3F8E0C7C"/>
    <w:rsid w:val="3F952814"/>
    <w:rsid w:val="3FA41C63"/>
    <w:rsid w:val="3FAB3D87"/>
    <w:rsid w:val="3FAB41A2"/>
    <w:rsid w:val="3FAE47F6"/>
    <w:rsid w:val="3FB6314D"/>
    <w:rsid w:val="3FBC1EEC"/>
    <w:rsid w:val="3FE458A7"/>
    <w:rsid w:val="3FFF2E61"/>
    <w:rsid w:val="40081118"/>
    <w:rsid w:val="400A1CFC"/>
    <w:rsid w:val="402365D8"/>
    <w:rsid w:val="40321042"/>
    <w:rsid w:val="40400533"/>
    <w:rsid w:val="40587C48"/>
    <w:rsid w:val="406D461C"/>
    <w:rsid w:val="406F7D87"/>
    <w:rsid w:val="407B29C4"/>
    <w:rsid w:val="40825FDB"/>
    <w:rsid w:val="40907287"/>
    <w:rsid w:val="409B39A8"/>
    <w:rsid w:val="40A25374"/>
    <w:rsid w:val="40BD153A"/>
    <w:rsid w:val="40CD7BD8"/>
    <w:rsid w:val="40CE727C"/>
    <w:rsid w:val="40D07371"/>
    <w:rsid w:val="40D72C72"/>
    <w:rsid w:val="40F1013C"/>
    <w:rsid w:val="412506DF"/>
    <w:rsid w:val="41442E91"/>
    <w:rsid w:val="41452069"/>
    <w:rsid w:val="414F41D7"/>
    <w:rsid w:val="414F7876"/>
    <w:rsid w:val="415A0FEF"/>
    <w:rsid w:val="416C15E7"/>
    <w:rsid w:val="416E039C"/>
    <w:rsid w:val="417B4D4F"/>
    <w:rsid w:val="41800377"/>
    <w:rsid w:val="418A5DBA"/>
    <w:rsid w:val="418B26ED"/>
    <w:rsid w:val="41A63744"/>
    <w:rsid w:val="41AC6BA3"/>
    <w:rsid w:val="41AD3C22"/>
    <w:rsid w:val="41AD5F07"/>
    <w:rsid w:val="41B730A3"/>
    <w:rsid w:val="41B737E0"/>
    <w:rsid w:val="41B77B6D"/>
    <w:rsid w:val="41CF1738"/>
    <w:rsid w:val="41D1580B"/>
    <w:rsid w:val="41DB773F"/>
    <w:rsid w:val="41DC53CC"/>
    <w:rsid w:val="41DC5EDF"/>
    <w:rsid w:val="41F05FE9"/>
    <w:rsid w:val="41F24303"/>
    <w:rsid w:val="41F52080"/>
    <w:rsid w:val="41FB0D2D"/>
    <w:rsid w:val="41FC707A"/>
    <w:rsid w:val="420850A2"/>
    <w:rsid w:val="422B0922"/>
    <w:rsid w:val="422C0EA3"/>
    <w:rsid w:val="422D5E13"/>
    <w:rsid w:val="422E207E"/>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E24BDD"/>
    <w:rsid w:val="42FB0307"/>
    <w:rsid w:val="43112BE5"/>
    <w:rsid w:val="431B56C6"/>
    <w:rsid w:val="432E5E21"/>
    <w:rsid w:val="43314E44"/>
    <w:rsid w:val="433D2335"/>
    <w:rsid w:val="436A2192"/>
    <w:rsid w:val="436E4CD2"/>
    <w:rsid w:val="436F0563"/>
    <w:rsid w:val="437C4731"/>
    <w:rsid w:val="439C3431"/>
    <w:rsid w:val="439D0E7C"/>
    <w:rsid w:val="43A46131"/>
    <w:rsid w:val="43BC1F33"/>
    <w:rsid w:val="43BE13F0"/>
    <w:rsid w:val="43C239F9"/>
    <w:rsid w:val="43D67A91"/>
    <w:rsid w:val="43E21F58"/>
    <w:rsid w:val="43EE3456"/>
    <w:rsid w:val="43F76F69"/>
    <w:rsid w:val="43FC0DB2"/>
    <w:rsid w:val="440C42F9"/>
    <w:rsid w:val="44180464"/>
    <w:rsid w:val="444F4ACD"/>
    <w:rsid w:val="4458379B"/>
    <w:rsid w:val="44584267"/>
    <w:rsid w:val="447B4A66"/>
    <w:rsid w:val="447D4136"/>
    <w:rsid w:val="44872078"/>
    <w:rsid w:val="448B5845"/>
    <w:rsid w:val="44B53006"/>
    <w:rsid w:val="44C87C0F"/>
    <w:rsid w:val="44DE5F0D"/>
    <w:rsid w:val="44DF6F1B"/>
    <w:rsid w:val="44E11BD3"/>
    <w:rsid w:val="44F16271"/>
    <w:rsid w:val="44FA22FB"/>
    <w:rsid w:val="45021AD7"/>
    <w:rsid w:val="452207B4"/>
    <w:rsid w:val="45234DF2"/>
    <w:rsid w:val="45282340"/>
    <w:rsid w:val="454505EA"/>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2E4C38"/>
    <w:rsid w:val="4662020E"/>
    <w:rsid w:val="4671651F"/>
    <w:rsid w:val="4673281B"/>
    <w:rsid w:val="467A6815"/>
    <w:rsid w:val="468A27AC"/>
    <w:rsid w:val="469123ED"/>
    <w:rsid w:val="46981A1E"/>
    <w:rsid w:val="46987D2F"/>
    <w:rsid w:val="46995896"/>
    <w:rsid w:val="46A35C12"/>
    <w:rsid w:val="46A82992"/>
    <w:rsid w:val="46AD7A54"/>
    <w:rsid w:val="46B35FAC"/>
    <w:rsid w:val="46B419BE"/>
    <w:rsid w:val="46B640D3"/>
    <w:rsid w:val="46CD1F17"/>
    <w:rsid w:val="46CF188A"/>
    <w:rsid w:val="46D67289"/>
    <w:rsid w:val="46DD1D17"/>
    <w:rsid w:val="46E1018C"/>
    <w:rsid w:val="46E53AB0"/>
    <w:rsid w:val="46F37479"/>
    <w:rsid w:val="46F704CB"/>
    <w:rsid w:val="46FC2FE8"/>
    <w:rsid w:val="47033281"/>
    <w:rsid w:val="47073BE8"/>
    <w:rsid w:val="47114B2A"/>
    <w:rsid w:val="471B4861"/>
    <w:rsid w:val="47351654"/>
    <w:rsid w:val="47457188"/>
    <w:rsid w:val="474D24B0"/>
    <w:rsid w:val="47540D96"/>
    <w:rsid w:val="47666951"/>
    <w:rsid w:val="47683159"/>
    <w:rsid w:val="478047A2"/>
    <w:rsid w:val="479D7800"/>
    <w:rsid w:val="47AC3403"/>
    <w:rsid w:val="47AF2E5D"/>
    <w:rsid w:val="47C843BC"/>
    <w:rsid w:val="47D80435"/>
    <w:rsid w:val="47DD6A91"/>
    <w:rsid w:val="47EB0853"/>
    <w:rsid w:val="47F01AF1"/>
    <w:rsid w:val="47F82625"/>
    <w:rsid w:val="47FA20F9"/>
    <w:rsid w:val="480B7A59"/>
    <w:rsid w:val="48111DC2"/>
    <w:rsid w:val="48222706"/>
    <w:rsid w:val="482B187E"/>
    <w:rsid w:val="482D350F"/>
    <w:rsid w:val="48356FE7"/>
    <w:rsid w:val="48380714"/>
    <w:rsid w:val="483C2A8C"/>
    <w:rsid w:val="48424FA1"/>
    <w:rsid w:val="484647AE"/>
    <w:rsid w:val="484F1901"/>
    <w:rsid w:val="485D5413"/>
    <w:rsid w:val="485F57EC"/>
    <w:rsid w:val="48675AD5"/>
    <w:rsid w:val="486B6273"/>
    <w:rsid w:val="48714B6E"/>
    <w:rsid w:val="48730B84"/>
    <w:rsid w:val="48740F16"/>
    <w:rsid w:val="48770B9B"/>
    <w:rsid w:val="48850976"/>
    <w:rsid w:val="48942964"/>
    <w:rsid w:val="48A36B1C"/>
    <w:rsid w:val="48A76BEF"/>
    <w:rsid w:val="48AF255D"/>
    <w:rsid w:val="48B16C29"/>
    <w:rsid w:val="48DC218B"/>
    <w:rsid w:val="49075A63"/>
    <w:rsid w:val="490C1965"/>
    <w:rsid w:val="49147FAC"/>
    <w:rsid w:val="4935171C"/>
    <w:rsid w:val="49361CF7"/>
    <w:rsid w:val="495A15B8"/>
    <w:rsid w:val="495C3370"/>
    <w:rsid w:val="496409A2"/>
    <w:rsid w:val="49667C00"/>
    <w:rsid w:val="496D2571"/>
    <w:rsid w:val="49707759"/>
    <w:rsid w:val="49725E9F"/>
    <w:rsid w:val="497413CA"/>
    <w:rsid w:val="49754BB1"/>
    <w:rsid w:val="49927DFC"/>
    <w:rsid w:val="4995554E"/>
    <w:rsid w:val="499B3646"/>
    <w:rsid w:val="499C3504"/>
    <w:rsid w:val="49A13F1F"/>
    <w:rsid w:val="49A43EE6"/>
    <w:rsid w:val="49B17BEA"/>
    <w:rsid w:val="49C20C6C"/>
    <w:rsid w:val="49CA0F9F"/>
    <w:rsid w:val="49CA2F55"/>
    <w:rsid w:val="49CD5459"/>
    <w:rsid w:val="49CE0C89"/>
    <w:rsid w:val="49D81B71"/>
    <w:rsid w:val="49D93C20"/>
    <w:rsid w:val="49DA3FD3"/>
    <w:rsid w:val="4A0573EC"/>
    <w:rsid w:val="4A06116C"/>
    <w:rsid w:val="4A09499E"/>
    <w:rsid w:val="4A1A36F6"/>
    <w:rsid w:val="4A282B08"/>
    <w:rsid w:val="4A381BA6"/>
    <w:rsid w:val="4A3926E2"/>
    <w:rsid w:val="4A3975B5"/>
    <w:rsid w:val="4A4172CE"/>
    <w:rsid w:val="4A43236C"/>
    <w:rsid w:val="4A4A176A"/>
    <w:rsid w:val="4A4A4ABE"/>
    <w:rsid w:val="4A597D42"/>
    <w:rsid w:val="4A6B2CB7"/>
    <w:rsid w:val="4A6C0FC7"/>
    <w:rsid w:val="4A7413BF"/>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60543"/>
    <w:rsid w:val="4C8E48D8"/>
    <w:rsid w:val="4C925EE7"/>
    <w:rsid w:val="4C974009"/>
    <w:rsid w:val="4C974D52"/>
    <w:rsid w:val="4CA946C2"/>
    <w:rsid w:val="4CBD40B9"/>
    <w:rsid w:val="4CC17C3E"/>
    <w:rsid w:val="4CC42462"/>
    <w:rsid w:val="4CCD5921"/>
    <w:rsid w:val="4CD4463A"/>
    <w:rsid w:val="4CDA21DD"/>
    <w:rsid w:val="4CE56B38"/>
    <w:rsid w:val="4CF04CFC"/>
    <w:rsid w:val="4CF14597"/>
    <w:rsid w:val="4CFB51DB"/>
    <w:rsid w:val="4D0F1680"/>
    <w:rsid w:val="4D1D6CA0"/>
    <w:rsid w:val="4D224099"/>
    <w:rsid w:val="4D2609C6"/>
    <w:rsid w:val="4D2F5C2A"/>
    <w:rsid w:val="4D33448A"/>
    <w:rsid w:val="4D3F4840"/>
    <w:rsid w:val="4D410392"/>
    <w:rsid w:val="4D45100B"/>
    <w:rsid w:val="4D5C5732"/>
    <w:rsid w:val="4D5D3C4B"/>
    <w:rsid w:val="4D656800"/>
    <w:rsid w:val="4D6F7110"/>
    <w:rsid w:val="4D705706"/>
    <w:rsid w:val="4D841C20"/>
    <w:rsid w:val="4D8D11C1"/>
    <w:rsid w:val="4DA46B8F"/>
    <w:rsid w:val="4DA53BC8"/>
    <w:rsid w:val="4DB066C9"/>
    <w:rsid w:val="4DB41824"/>
    <w:rsid w:val="4DD776ED"/>
    <w:rsid w:val="4DDF6E13"/>
    <w:rsid w:val="4DE60E50"/>
    <w:rsid w:val="4DF20FEE"/>
    <w:rsid w:val="4E065F13"/>
    <w:rsid w:val="4E0939E5"/>
    <w:rsid w:val="4E176DF3"/>
    <w:rsid w:val="4E341058"/>
    <w:rsid w:val="4E3A2C21"/>
    <w:rsid w:val="4E3E3B7D"/>
    <w:rsid w:val="4E4475F5"/>
    <w:rsid w:val="4E537915"/>
    <w:rsid w:val="4E5C1ABE"/>
    <w:rsid w:val="4E68543B"/>
    <w:rsid w:val="4E694E99"/>
    <w:rsid w:val="4E795FE9"/>
    <w:rsid w:val="4E81649F"/>
    <w:rsid w:val="4E9E13A7"/>
    <w:rsid w:val="4EA35FF9"/>
    <w:rsid w:val="4EC97437"/>
    <w:rsid w:val="4EE6184F"/>
    <w:rsid w:val="4EE70B3A"/>
    <w:rsid w:val="4EE86D63"/>
    <w:rsid w:val="4EEC3AFB"/>
    <w:rsid w:val="4EEE11A3"/>
    <w:rsid w:val="4EFF3444"/>
    <w:rsid w:val="4F0441E5"/>
    <w:rsid w:val="4F155F27"/>
    <w:rsid w:val="4F265B84"/>
    <w:rsid w:val="4F48596D"/>
    <w:rsid w:val="4F592DB7"/>
    <w:rsid w:val="4F7278C6"/>
    <w:rsid w:val="4F85034E"/>
    <w:rsid w:val="4F900E85"/>
    <w:rsid w:val="4F983E33"/>
    <w:rsid w:val="4FA6049A"/>
    <w:rsid w:val="4FA92910"/>
    <w:rsid w:val="4FAB3627"/>
    <w:rsid w:val="4FB40C2C"/>
    <w:rsid w:val="4FB47C52"/>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B139BD"/>
    <w:rsid w:val="50BD136E"/>
    <w:rsid w:val="50BD1498"/>
    <w:rsid w:val="50BE1B1D"/>
    <w:rsid w:val="50C11710"/>
    <w:rsid w:val="50C35503"/>
    <w:rsid w:val="50C51F05"/>
    <w:rsid w:val="50D228CF"/>
    <w:rsid w:val="50E63519"/>
    <w:rsid w:val="50E811B3"/>
    <w:rsid w:val="50ED76FB"/>
    <w:rsid w:val="50F90C9A"/>
    <w:rsid w:val="510C457A"/>
    <w:rsid w:val="51187610"/>
    <w:rsid w:val="51244150"/>
    <w:rsid w:val="512D358F"/>
    <w:rsid w:val="51375EB3"/>
    <w:rsid w:val="513853CC"/>
    <w:rsid w:val="514C1E16"/>
    <w:rsid w:val="515C30A6"/>
    <w:rsid w:val="515E779A"/>
    <w:rsid w:val="515E78ED"/>
    <w:rsid w:val="51773865"/>
    <w:rsid w:val="517F00BC"/>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24164"/>
    <w:rsid w:val="52960315"/>
    <w:rsid w:val="529F0D9B"/>
    <w:rsid w:val="52A27749"/>
    <w:rsid w:val="52A501E6"/>
    <w:rsid w:val="52A66651"/>
    <w:rsid w:val="52B85A63"/>
    <w:rsid w:val="52CC2D2A"/>
    <w:rsid w:val="52CF0A4A"/>
    <w:rsid w:val="52DD5B35"/>
    <w:rsid w:val="52FC1C88"/>
    <w:rsid w:val="53081400"/>
    <w:rsid w:val="53155215"/>
    <w:rsid w:val="531621BA"/>
    <w:rsid w:val="531B5C2E"/>
    <w:rsid w:val="531D0F10"/>
    <w:rsid w:val="531E4DAF"/>
    <w:rsid w:val="533C5910"/>
    <w:rsid w:val="533E0346"/>
    <w:rsid w:val="53421CE4"/>
    <w:rsid w:val="534246C3"/>
    <w:rsid w:val="534410BE"/>
    <w:rsid w:val="53495ACD"/>
    <w:rsid w:val="53504BF5"/>
    <w:rsid w:val="5366542B"/>
    <w:rsid w:val="536D41AE"/>
    <w:rsid w:val="537928A5"/>
    <w:rsid w:val="53794E20"/>
    <w:rsid w:val="538351B9"/>
    <w:rsid w:val="538631E4"/>
    <w:rsid w:val="5391597D"/>
    <w:rsid w:val="53947DE7"/>
    <w:rsid w:val="53A27D95"/>
    <w:rsid w:val="53A911A1"/>
    <w:rsid w:val="53E07B00"/>
    <w:rsid w:val="53EB6A75"/>
    <w:rsid w:val="53FF643B"/>
    <w:rsid w:val="54002BFD"/>
    <w:rsid w:val="54141AF3"/>
    <w:rsid w:val="542661EF"/>
    <w:rsid w:val="542F7A60"/>
    <w:rsid w:val="54550067"/>
    <w:rsid w:val="54580F5A"/>
    <w:rsid w:val="54592618"/>
    <w:rsid w:val="54600373"/>
    <w:rsid w:val="5478695B"/>
    <w:rsid w:val="548810E8"/>
    <w:rsid w:val="549C6534"/>
    <w:rsid w:val="54A131AE"/>
    <w:rsid w:val="54B62C99"/>
    <w:rsid w:val="54BC5F2B"/>
    <w:rsid w:val="54D37100"/>
    <w:rsid w:val="54DF688B"/>
    <w:rsid w:val="550E5B10"/>
    <w:rsid w:val="550E6C32"/>
    <w:rsid w:val="5526046A"/>
    <w:rsid w:val="5540508D"/>
    <w:rsid w:val="55442034"/>
    <w:rsid w:val="554D7A99"/>
    <w:rsid w:val="554E0863"/>
    <w:rsid w:val="55507B5A"/>
    <w:rsid w:val="555737A6"/>
    <w:rsid w:val="55611FED"/>
    <w:rsid w:val="5565650B"/>
    <w:rsid w:val="556C1CC4"/>
    <w:rsid w:val="55712540"/>
    <w:rsid w:val="5577741D"/>
    <w:rsid w:val="558126EC"/>
    <w:rsid w:val="55883669"/>
    <w:rsid w:val="558C19C8"/>
    <w:rsid w:val="5595086B"/>
    <w:rsid w:val="559537DA"/>
    <w:rsid w:val="55B403DD"/>
    <w:rsid w:val="55C0140E"/>
    <w:rsid w:val="55CF48E7"/>
    <w:rsid w:val="55D0342A"/>
    <w:rsid w:val="55D849A1"/>
    <w:rsid w:val="55E31A15"/>
    <w:rsid w:val="55E5367A"/>
    <w:rsid w:val="55F60A33"/>
    <w:rsid w:val="560F40F1"/>
    <w:rsid w:val="56214A7B"/>
    <w:rsid w:val="562E1F90"/>
    <w:rsid w:val="563377E9"/>
    <w:rsid w:val="563B5B47"/>
    <w:rsid w:val="563B616D"/>
    <w:rsid w:val="56436207"/>
    <w:rsid w:val="564479E9"/>
    <w:rsid w:val="56471300"/>
    <w:rsid w:val="56553319"/>
    <w:rsid w:val="566510CB"/>
    <w:rsid w:val="567A6CC0"/>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3022C"/>
    <w:rsid w:val="573B3910"/>
    <w:rsid w:val="57441BF7"/>
    <w:rsid w:val="57464785"/>
    <w:rsid w:val="57484376"/>
    <w:rsid w:val="574B4B12"/>
    <w:rsid w:val="575425F9"/>
    <w:rsid w:val="57702374"/>
    <w:rsid w:val="579769C4"/>
    <w:rsid w:val="579A7C07"/>
    <w:rsid w:val="57A46FEE"/>
    <w:rsid w:val="57B02763"/>
    <w:rsid w:val="57B6547E"/>
    <w:rsid w:val="57D01AAC"/>
    <w:rsid w:val="57D07F14"/>
    <w:rsid w:val="57DC3510"/>
    <w:rsid w:val="57DF6500"/>
    <w:rsid w:val="57E6131A"/>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A3114"/>
    <w:rsid w:val="58DB0330"/>
    <w:rsid w:val="58E24314"/>
    <w:rsid w:val="590217A0"/>
    <w:rsid w:val="59132B07"/>
    <w:rsid w:val="592316B2"/>
    <w:rsid w:val="59267EF0"/>
    <w:rsid w:val="593100DB"/>
    <w:rsid w:val="593E360D"/>
    <w:rsid w:val="59421F7E"/>
    <w:rsid w:val="594935F2"/>
    <w:rsid w:val="595C0946"/>
    <w:rsid w:val="59600BBF"/>
    <w:rsid w:val="59617AB3"/>
    <w:rsid w:val="59642A7A"/>
    <w:rsid w:val="596770A1"/>
    <w:rsid w:val="596D32B4"/>
    <w:rsid w:val="59771B79"/>
    <w:rsid w:val="599148CE"/>
    <w:rsid w:val="599F7EF1"/>
    <w:rsid w:val="59A24ED6"/>
    <w:rsid w:val="59B6531E"/>
    <w:rsid w:val="59B75E8A"/>
    <w:rsid w:val="59BC0F73"/>
    <w:rsid w:val="59BD2911"/>
    <w:rsid w:val="59BE1CC3"/>
    <w:rsid w:val="59C13A26"/>
    <w:rsid w:val="59D906FD"/>
    <w:rsid w:val="59EB0D06"/>
    <w:rsid w:val="59EF791E"/>
    <w:rsid w:val="5A0640DE"/>
    <w:rsid w:val="5A1215B1"/>
    <w:rsid w:val="5A1D0AF2"/>
    <w:rsid w:val="5A1F5196"/>
    <w:rsid w:val="5A227353"/>
    <w:rsid w:val="5A440B9D"/>
    <w:rsid w:val="5A473C92"/>
    <w:rsid w:val="5A4A0711"/>
    <w:rsid w:val="5A5128C3"/>
    <w:rsid w:val="5A58768A"/>
    <w:rsid w:val="5A5A4BC7"/>
    <w:rsid w:val="5A5C7772"/>
    <w:rsid w:val="5A6336A1"/>
    <w:rsid w:val="5A6B7C88"/>
    <w:rsid w:val="5A73612A"/>
    <w:rsid w:val="5AA541CF"/>
    <w:rsid w:val="5AB96041"/>
    <w:rsid w:val="5ABC6BFA"/>
    <w:rsid w:val="5AC337A6"/>
    <w:rsid w:val="5ACB6BD5"/>
    <w:rsid w:val="5ACF6B35"/>
    <w:rsid w:val="5AD510F0"/>
    <w:rsid w:val="5AF82FCA"/>
    <w:rsid w:val="5AFD2BAF"/>
    <w:rsid w:val="5B125E89"/>
    <w:rsid w:val="5B187495"/>
    <w:rsid w:val="5B1B10FA"/>
    <w:rsid w:val="5B2445B5"/>
    <w:rsid w:val="5B382D35"/>
    <w:rsid w:val="5B492D29"/>
    <w:rsid w:val="5B52740E"/>
    <w:rsid w:val="5B561BE4"/>
    <w:rsid w:val="5B627DC7"/>
    <w:rsid w:val="5B6C5737"/>
    <w:rsid w:val="5B896F76"/>
    <w:rsid w:val="5B9C0984"/>
    <w:rsid w:val="5BA40CB5"/>
    <w:rsid w:val="5BDA2A84"/>
    <w:rsid w:val="5BE23D1E"/>
    <w:rsid w:val="5BE24CD9"/>
    <w:rsid w:val="5BE50680"/>
    <w:rsid w:val="5BE52EE1"/>
    <w:rsid w:val="5BEA2231"/>
    <w:rsid w:val="5BF560A5"/>
    <w:rsid w:val="5BFD4032"/>
    <w:rsid w:val="5C1832F4"/>
    <w:rsid w:val="5C1A3044"/>
    <w:rsid w:val="5C213BDE"/>
    <w:rsid w:val="5C2C37CC"/>
    <w:rsid w:val="5C3C4A39"/>
    <w:rsid w:val="5C3C7E2C"/>
    <w:rsid w:val="5C5E033F"/>
    <w:rsid w:val="5C6875EE"/>
    <w:rsid w:val="5C6D0F3E"/>
    <w:rsid w:val="5C6E2E80"/>
    <w:rsid w:val="5C9570C7"/>
    <w:rsid w:val="5CAD5DE3"/>
    <w:rsid w:val="5CBB3E0B"/>
    <w:rsid w:val="5CC43404"/>
    <w:rsid w:val="5CC93DAE"/>
    <w:rsid w:val="5CD31EE3"/>
    <w:rsid w:val="5CEF43FB"/>
    <w:rsid w:val="5CF80A65"/>
    <w:rsid w:val="5CFE7365"/>
    <w:rsid w:val="5D095704"/>
    <w:rsid w:val="5D2B5629"/>
    <w:rsid w:val="5D473075"/>
    <w:rsid w:val="5D5864DB"/>
    <w:rsid w:val="5D6056DD"/>
    <w:rsid w:val="5D6D4B6A"/>
    <w:rsid w:val="5D73393B"/>
    <w:rsid w:val="5D784379"/>
    <w:rsid w:val="5D7B3457"/>
    <w:rsid w:val="5D8B2715"/>
    <w:rsid w:val="5D915AFD"/>
    <w:rsid w:val="5D961EC1"/>
    <w:rsid w:val="5DCF393D"/>
    <w:rsid w:val="5DDD094B"/>
    <w:rsid w:val="5DEB3FEC"/>
    <w:rsid w:val="5E00720B"/>
    <w:rsid w:val="5E012896"/>
    <w:rsid w:val="5E0A6049"/>
    <w:rsid w:val="5E156B70"/>
    <w:rsid w:val="5E226508"/>
    <w:rsid w:val="5E294620"/>
    <w:rsid w:val="5E34754C"/>
    <w:rsid w:val="5E4322C3"/>
    <w:rsid w:val="5E433FBB"/>
    <w:rsid w:val="5E5F0687"/>
    <w:rsid w:val="5E630272"/>
    <w:rsid w:val="5E783202"/>
    <w:rsid w:val="5E7842EE"/>
    <w:rsid w:val="5EB23B9C"/>
    <w:rsid w:val="5EB52E6F"/>
    <w:rsid w:val="5EC814B3"/>
    <w:rsid w:val="5ED23090"/>
    <w:rsid w:val="5EF04AC4"/>
    <w:rsid w:val="5F032ABD"/>
    <w:rsid w:val="5F09081F"/>
    <w:rsid w:val="5F1111AD"/>
    <w:rsid w:val="5F121A0D"/>
    <w:rsid w:val="5F133C74"/>
    <w:rsid w:val="5F2C64A1"/>
    <w:rsid w:val="5F39582E"/>
    <w:rsid w:val="5F3B689E"/>
    <w:rsid w:val="5F445D7A"/>
    <w:rsid w:val="5F45602C"/>
    <w:rsid w:val="5F4A58A7"/>
    <w:rsid w:val="5F5256E4"/>
    <w:rsid w:val="5F57147C"/>
    <w:rsid w:val="5F5A1B50"/>
    <w:rsid w:val="5F5B2F6E"/>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B6B90"/>
    <w:rsid w:val="600C3224"/>
    <w:rsid w:val="60143AD3"/>
    <w:rsid w:val="601525DB"/>
    <w:rsid w:val="60207D74"/>
    <w:rsid w:val="60281FCD"/>
    <w:rsid w:val="603771DA"/>
    <w:rsid w:val="60403359"/>
    <w:rsid w:val="60462CBD"/>
    <w:rsid w:val="60545D8B"/>
    <w:rsid w:val="607D2A16"/>
    <w:rsid w:val="6085543E"/>
    <w:rsid w:val="60871468"/>
    <w:rsid w:val="608F18FF"/>
    <w:rsid w:val="60907882"/>
    <w:rsid w:val="609517E9"/>
    <w:rsid w:val="60BA49C6"/>
    <w:rsid w:val="60C5483E"/>
    <w:rsid w:val="60C867C5"/>
    <w:rsid w:val="60D3354A"/>
    <w:rsid w:val="60DB0800"/>
    <w:rsid w:val="60DE0DB6"/>
    <w:rsid w:val="60E54273"/>
    <w:rsid w:val="60E54809"/>
    <w:rsid w:val="60EF0896"/>
    <w:rsid w:val="60FA37CB"/>
    <w:rsid w:val="61067A64"/>
    <w:rsid w:val="6112529A"/>
    <w:rsid w:val="611F0B09"/>
    <w:rsid w:val="61200AAF"/>
    <w:rsid w:val="615D70C7"/>
    <w:rsid w:val="61626088"/>
    <w:rsid w:val="616A418B"/>
    <w:rsid w:val="616C1F35"/>
    <w:rsid w:val="616E223F"/>
    <w:rsid w:val="61757E74"/>
    <w:rsid w:val="618D14AD"/>
    <w:rsid w:val="61963257"/>
    <w:rsid w:val="619C38B4"/>
    <w:rsid w:val="61A4486B"/>
    <w:rsid w:val="61A649A4"/>
    <w:rsid w:val="61AF5F70"/>
    <w:rsid w:val="61B5604D"/>
    <w:rsid w:val="61BC23E5"/>
    <w:rsid w:val="61C06748"/>
    <w:rsid w:val="61C255BD"/>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978DB"/>
    <w:rsid w:val="628035A4"/>
    <w:rsid w:val="6295194F"/>
    <w:rsid w:val="629A7081"/>
    <w:rsid w:val="629B300D"/>
    <w:rsid w:val="62B27ED3"/>
    <w:rsid w:val="62BA3B2B"/>
    <w:rsid w:val="62C37511"/>
    <w:rsid w:val="62D11C3F"/>
    <w:rsid w:val="62E157FC"/>
    <w:rsid w:val="62E81148"/>
    <w:rsid w:val="62E855C0"/>
    <w:rsid w:val="62EB6BF3"/>
    <w:rsid w:val="62F76986"/>
    <w:rsid w:val="63340EAE"/>
    <w:rsid w:val="633911DE"/>
    <w:rsid w:val="633B3A43"/>
    <w:rsid w:val="634B6A95"/>
    <w:rsid w:val="634E6F1F"/>
    <w:rsid w:val="635D4E8B"/>
    <w:rsid w:val="63615D3E"/>
    <w:rsid w:val="63646626"/>
    <w:rsid w:val="636549D3"/>
    <w:rsid w:val="636C62BA"/>
    <w:rsid w:val="636E31E2"/>
    <w:rsid w:val="63821D61"/>
    <w:rsid w:val="63827E36"/>
    <w:rsid w:val="63842477"/>
    <w:rsid w:val="6388704F"/>
    <w:rsid w:val="639F01F2"/>
    <w:rsid w:val="63A46CFE"/>
    <w:rsid w:val="63A85CD1"/>
    <w:rsid w:val="63AC042C"/>
    <w:rsid w:val="63B02C42"/>
    <w:rsid w:val="63C51AD9"/>
    <w:rsid w:val="63C54411"/>
    <w:rsid w:val="63C96A31"/>
    <w:rsid w:val="63CD27C8"/>
    <w:rsid w:val="63CF2629"/>
    <w:rsid w:val="63E263F4"/>
    <w:rsid w:val="63E418C9"/>
    <w:rsid w:val="64182885"/>
    <w:rsid w:val="641A7126"/>
    <w:rsid w:val="641A78CE"/>
    <w:rsid w:val="642A1FD9"/>
    <w:rsid w:val="642C5E1F"/>
    <w:rsid w:val="643F3FFC"/>
    <w:rsid w:val="644B6BAE"/>
    <w:rsid w:val="64560C29"/>
    <w:rsid w:val="64662960"/>
    <w:rsid w:val="64706C6F"/>
    <w:rsid w:val="649A6134"/>
    <w:rsid w:val="649D2569"/>
    <w:rsid w:val="649F4316"/>
    <w:rsid w:val="64A21614"/>
    <w:rsid w:val="64A51362"/>
    <w:rsid w:val="64A55A03"/>
    <w:rsid w:val="64B453B1"/>
    <w:rsid w:val="650D6AA0"/>
    <w:rsid w:val="651A5C6A"/>
    <w:rsid w:val="6522790C"/>
    <w:rsid w:val="65285E75"/>
    <w:rsid w:val="653B297A"/>
    <w:rsid w:val="65403733"/>
    <w:rsid w:val="65451C92"/>
    <w:rsid w:val="65467C22"/>
    <w:rsid w:val="65520D59"/>
    <w:rsid w:val="65543EC1"/>
    <w:rsid w:val="655754CB"/>
    <w:rsid w:val="655E2D72"/>
    <w:rsid w:val="65833C4F"/>
    <w:rsid w:val="658B37B6"/>
    <w:rsid w:val="659C17EE"/>
    <w:rsid w:val="65AC6F31"/>
    <w:rsid w:val="65BE44E0"/>
    <w:rsid w:val="65C132A7"/>
    <w:rsid w:val="65D70270"/>
    <w:rsid w:val="65F705B5"/>
    <w:rsid w:val="66032E7B"/>
    <w:rsid w:val="661026AA"/>
    <w:rsid w:val="66325FD0"/>
    <w:rsid w:val="663D054E"/>
    <w:rsid w:val="6679372B"/>
    <w:rsid w:val="66980BF6"/>
    <w:rsid w:val="66A764A8"/>
    <w:rsid w:val="66B81454"/>
    <w:rsid w:val="66BE1292"/>
    <w:rsid w:val="66BF76F1"/>
    <w:rsid w:val="66DC5BF8"/>
    <w:rsid w:val="66DD7DCF"/>
    <w:rsid w:val="66E173F9"/>
    <w:rsid w:val="66E3226C"/>
    <w:rsid w:val="66EC5E36"/>
    <w:rsid w:val="67086DE8"/>
    <w:rsid w:val="670D0198"/>
    <w:rsid w:val="67181932"/>
    <w:rsid w:val="672A4901"/>
    <w:rsid w:val="67441B08"/>
    <w:rsid w:val="67513E69"/>
    <w:rsid w:val="675A17FE"/>
    <w:rsid w:val="678A44B2"/>
    <w:rsid w:val="678C1D52"/>
    <w:rsid w:val="679034E5"/>
    <w:rsid w:val="67A60A96"/>
    <w:rsid w:val="67C0536E"/>
    <w:rsid w:val="67C149C0"/>
    <w:rsid w:val="67C7427D"/>
    <w:rsid w:val="67CA7967"/>
    <w:rsid w:val="67CC38C5"/>
    <w:rsid w:val="67D61171"/>
    <w:rsid w:val="67D9695E"/>
    <w:rsid w:val="67DC5CEA"/>
    <w:rsid w:val="67DF18A0"/>
    <w:rsid w:val="67E07483"/>
    <w:rsid w:val="680965F8"/>
    <w:rsid w:val="681777F7"/>
    <w:rsid w:val="68240EAA"/>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750C5"/>
    <w:rsid w:val="6A290AA5"/>
    <w:rsid w:val="6A2960D9"/>
    <w:rsid w:val="6A2A46CE"/>
    <w:rsid w:val="6A3F4FDB"/>
    <w:rsid w:val="6A532FF6"/>
    <w:rsid w:val="6A6957AE"/>
    <w:rsid w:val="6A6C22E4"/>
    <w:rsid w:val="6A7174A5"/>
    <w:rsid w:val="6A72508F"/>
    <w:rsid w:val="6A732254"/>
    <w:rsid w:val="6A774894"/>
    <w:rsid w:val="6A8514B3"/>
    <w:rsid w:val="6A8650EE"/>
    <w:rsid w:val="6A8C3EFF"/>
    <w:rsid w:val="6A8D1506"/>
    <w:rsid w:val="6A937D23"/>
    <w:rsid w:val="6A9B5915"/>
    <w:rsid w:val="6A9B7735"/>
    <w:rsid w:val="6AAF47C6"/>
    <w:rsid w:val="6AB45A03"/>
    <w:rsid w:val="6AB974D9"/>
    <w:rsid w:val="6ABE4FFD"/>
    <w:rsid w:val="6AED013C"/>
    <w:rsid w:val="6AF63F29"/>
    <w:rsid w:val="6B141260"/>
    <w:rsid w:val="6B285741"/>
    <w:rsid w:val="6B340EF1"/>
    <w:rsid w:val="6B3C3D7F"/>
    <w:rsid w:val="6B3D06AC"/>
    <w:rsid w:val="6B407D95"/>
    <w:rsid w:val="6B444BB7"/>
    <w:rsid w:val="6B4B2C3B"/>
    <w:rsid w:val="6B512341"/>
    <w:rsid w:val="6B57604B"/>
    <w:rsid w:val="6B5B0A52"/>
    <w:rsid w:val="6B5D2504"/>
    <w:rsid w:val="6B7B7E06"/>
    <w:rsid w:val="6B8F4B08"/>
    <w:rsid w:val="6B95396B"/>
    <w:rsid w:val="6B9E5C5C"/>
    <w:rsid w:val="6BB14198"/>
    <w:rsid w:val="6BB31972"/>
    <w:rsid w:val="6BBB00B1"/>
    <w:rsid w:val="6BC03721"/>
    <w:rsid w:val="6BC3364B"/>
    <w:rsid w:val="6BCD7076"/>
    <w:rsid w:val="6BCF2DCA"/>
    <w:rsid w:val="6BDD0493"/>
    <w:rsid w:val="6BDE54AC"/>
    <w:rsid w:val="6BE6539C"/>
    <w:rsid w:val="6BF25C39"/>
    <w:rsid w:val="6C06150E"/>
    <w:rsid w:val="6C0A5E95"/>
    <w:rsid w:val="6C132A90"/>
    <w:rsid w:val="6C2000B9"/>
    <w:rsid w:val="6C21487B"/>
    <w:rsid w:val="6C263A06"/>
    <w:rsid w:val="6C3A624E"/>
    <w:rsid w:val="6C431738"/>
    <w:rsid w:val="6C505966"/>
    <w:rsid w:val="6C5D04BB"/>
    <w:rsid w:val="6C6F1F45"/>
    <w:rsid w:val="6C754C11"/>
    <w:rsid w:val="6C7E5591"/>
    <w:rsid w:val="6C8E4315"/>
    <w:rsid w:val="6C8E476D"/>
    <w:rsid w:val="6C95615F"/>
    <w:rsid w:val="6C9D5296"/>
    <w:rsid w:val="6CA94419"/>
    <w:rsid w:val="6CB242A2"/>
    <w:rsid w:val="6CC66798"/>
    <w:rsid w:val="6CC818AD"/>
    <w:rsid w:val="6CD815AF"/>
    <w:rsid w:val="6CE0612A"/>
    <w:rsid w:val="6CE269D3"/>
    <w:rsid w:val="6CED284E"/>
    <w:rsid w:val="6CEE2316"/>
    <w:rsid w:val="6CF04EB7"/>
    <w:rsid w:val="6CF06E5B"/>
    <w:rsid w:val="6CF17872"/>
    <w:rsid w:val="6CF76712"/>
    <w:rsid w:val="6D033EFD"/>
    <w:rsid w:val="6D25402B"/>
    <w:rsid w:val="6D257268"/>
    <w:rsid w:val="6D274676"/>
    <w:rsid w:val="6D2C0ECE"/>
    <w:rsid w:val="6D2F4B50"/>
    <w:rsid w:val="6D34242C"/>
    <w:rsid w:val="6D3643CB"/>
    <w:rsid w:val="6D373711"/>
    <w:rsid w:val="6D3977E0"/>
    <w:rsid w:val="6D3C14B2"/>
    <w:rsid w:val="6D436625"/>
    <w:rsid w:val="6D5E64E8"/>
    <w:rsid w:val="6D652ED0"/>
    <w:rsid w:val="6D655F9F"/>
    <w:rsid w:val="6D662717"/>
    <w:rsid w:val="6D663299"/>
    <w:rsid w:val="6D776401"/>
    <w:rsid w:val="6DA71839"/>
    <w:rsid w:val="6DB20233"/>
    <w:rsid w:val="6DD9067A"/>
    <w:rsid w:val="6E0F320E"/>
    <w:rsid w:val="6E1B4CD0"/>
    <w:rsid w:val="6E1C4945"/>
    <w:rsid w:val="6E261EDD"/>
    <w:rsid w:val="6E2754CC"/>
    <w:rsid w:val="6E2E5F7B"/>
    <w:rsid w:val="6E3262D3"/>
    <w:rsid w:val="6E34632F"/>
    <w:rsid w:val="6E376A3A"/>
    <w:rsid w:val="6E3B7197"/>
    <w:rsid w:val="6E3F1C0F"/>
    <w:rsid w:val="6E45639A"/>
    <w:rsid w:val="6E532F90"/>
    <w:rsid w:val="6E5B47E7"/>
    <w:rsid w:val="6E633CB5"/>
    <w:rsid w:val="6E72570E"/>
    <w:rsid w:val="6E8B5E54"/>
    <w:rsid w:val="6E957DD6"/>
    <w:rsid w:val="6EAB29FB"/>
    <w:rsid w:val="6EAC7CEF"/>
    <w:rsid w:val="6EAE2647"/>
    <w:rsid w:val="6EB32B7F"/>
    <w:rsid w:val="6EB46F18"/>
    <w:rsid w:val="6EBD4DFF"/>
    <w:rsid w:val="6EC73357"/>
    <w:rsid w:val="6EE24D6C"/>
    <w:rsid w:val="6EE939F2"/>
    <w:rsid w:val="6F021829"/>
    <w:rsid w:val="6F05543A"/>
    <w:rsid w:val="6F28474F"/>
    <w:rsid w:val="6F384951"/>
    <w:rsid w:val="6F607895"/>
    <w:rsid w:val="6F61040C"/>
    <w:rsid w:val="6F6776E1"/>
    <w:rsid w:val="6F6F1DF5"/>
    <w:rsid w:val="6F747B09"/>
    <w:rsid w:val="6F772CED"/>
    <w:rsid w:val="6F7E1B78"/>
    <w:rsid w:val="6F937E6D"/>
    <w:rsid w:val="6F9C5D71"/>
    <w:rsid w:val="6FA3781E"/>
    <w:rsid w:val="6FB32B16"/>
    <w:rsid w:val="6FD772F5"/>
    <w:rsid w:val="6FE53444"/>
    <w:rsid w:val="6FF1528E"/>
    <w:rsid w:val="6FFB1E60"/>
    <w:rsid w:val="700C0460"/>
    <w:rsid w:val="700F7C86"/>
    <w:rsid w:val="70170F2B"/>
    <w:rsid w:val="7019698C"/>
    <w:rsid w:val="701E2FAB"/>
    <w:rsid w:val="702267DC"/>
    <w:rsid w:val="70387A8F"/>
    <w:rsid w:val="70405A8C"/>
    <w:rsid w:val="704601E6"/>
    <w:rsid w:val="705D6C6C"/>
    <w:rsid w:val="70767F2C"/>
    <w:rsid w:val="707E62BB"/>
    <w:rsid w:val="709E640C"/>
    <w:rsid w:val="70B56633"/>
    <w:rsid w:val="70BB0D3E"/>
    <w:rsid w:val="70BE3FFF"/>
    <w:rsid w:val="70CF3906"/>
    <w:rsid w:val="70D7434B"/>
    <w:rsid w:val="70D91094"/>
    <w:rsid w:val="70DB76EF"/>
    <w:rsid w:val="70DE59E1"/>
    <w:rsid w:val="711C4843"/>
    <w:rsid w:val="712D2ADB"/>
    <w:rsid w:val="71431855"/>
    <w:rsid w:val="7143374A"/>
    <w:rsid w:val="71526CE2"/>
    <w:rsid w:val="71536701"/>
    <w:rsid w:val="7161766A"/>
    <w:rsid w:val="716B5F96"/>
    <w:rsid w:val="718B3A9F"/>
    <w:rsid w:val="71905AEB"/>
    <w:rsid w:val="71936186"/>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749D7"/>
    <w:rsid w:val="724E54F1"/>
    <w:rsid w:val="725925EA"/>
    <w:rsid w:val="72726399"/>
    <w:rsid w:val="727334E4"/>
    <w:rsid w:val="727B2E39"/>
    <w:rsid w:val="72827328"/>
    <w:rsid w:val="728B509F"/>
    <w:rsid w:val="728F0A31"/>
    <w:rsid w:val="72B72C41"/>
    <w:rsid w:val="72B751B8"/>
    <w:rsid w:val="72BF5663"/>
    <w:rsid w:val="72CE3184"/>
    <w:rsid w:val="72D456A5"/>
    <w:rsid w:val="72E20D10"/>
    <w:rsid w:val="72E70D52"/>
    <w:rsid w:val="72EA6B66"/>
    <w:rsid w:val="72FB65BF"/>
    <w:rsid w:val="73101940"/>
    <w:rsid w:val="731C28E7"/>
    <w:rsid w:val="732A4A9B"/>
    <w:rsid w:val="732C0343"/>
    <w:rsid w:val="73343997"/>
    <w:rsid w:val="73370B0A"/>
    <w:rsid w:val="733C723A"/>
    <w:rsid w:val="733C7C6A"/>
    <w:rsid w:val="734A76B8"/>
    <w:rsid w:val="73690216"/>
    <w:rsid w:val="736A02D8"/>
    <w:rsid w:val="739B1EFF"/>
    <w:rsid w:val="739E0B28"/>
    <w:rsid w:val="73A16D22"/>
    <w:rsid w:val="73B1400F"/>
    <w:rsid w:val="73B858E9"/>
    <w:rsid w:val="73BA064C"/>
    <w:rsid w:val="73BB3C6E"/>
    <w:rsid w:val="73BB5AFE"/>
    <w:rsid w:val="73BF48E5"/>
    <w:rsid w:val="73CE1997"/>
    <w:rsid w:val="73DE1AB7"/>
    <w:rsid w:val="73EC7C9D"/>
    <w:rsid w:val="73FE01F8"/>
    <w:rsid w:val="741076D1"/>
    <w:rsid w:val="741E5CCC"/>
    <w:rsid w:val="74204177"/>
    <w:rsid w:val="74215D04"/>
    <w:rsid w:val="742A0965"/>
    <w:rsid w:val="742D6DB6"/>
    <w:rsid w:val="74335FF7"/>
    <w:rsid w:val="74574BA5"/>
    <w:rsid w:val="745F5D37"/>
    <w:rsid w:val="745F71F0"/>
    <w:rsid w:val="74775754"/>
    <w:rsid w:val="74847BEE"/>
    <w:rsid w:val="749225DF"/>
    <w:rsid w:val="74A83CD2"/>
    <w:rsid w:val="74B06962"/>
    <w:rsid w:val="74B22C5F"/>
    <w:rsid w:val="74B32215"/>
    <w:rsid w:val="74C46840"/>
    <w:rsid w:val="74D71DDE"/>
    <w:rsid w:val="74D86DFB"/>
    <w:rsid w:val="74E11F86"/>
    <w:rsid w:val="74FB509B"/>
    <w:rsid w:val="74FB6035"/>
    <w:rsid w:val="75020AE3"/>
    <w:rsid w:val="750934A8"/>
    <w:rsid w:val="750A15E4"/>
    <w:rsid w:val="75245483"/>
    <w:rsid w:val="752B3381"/>
    <w:rsid w:val="752E76FA"/>
    <w:rsid w:val="75313F9B"/>
    <w:rsid w:val="753E57DB"/>
    <w:rsid w:val="75594581"/>
    <w:rsid w:val="75625A16"/>
    <w:rsid w:val="75663FD1"/>
    <w:rsid w:val="757955CC"/>
    <w:rsid w:val="757A709F"/>
    <w:rsid w:val="75955655"/>
    <w:rsid w:val="759B0C43"/>
    <w:rsid w:val="75C001C5"/>
    <w:rsid w:val="75C123A7"/>
    <w:rsid w:val="75CD2584"/>
    <w:rsid w:val="75DB3F4E"/>
    <w:rsid w:val="75F13C74"/>
    <w:rsid w:val="75F75D00"/>
    <w:rsid w:val="75F8074C"/>
    <w:rsid w:val="7600209C"/>
    <w:rsid w:val="760049B0"/>
    <w:rsid w:val="76070A73"/>
    <w:rsid w:val="76177808"/>
    <w:rsid w:val="761F5272"/>
    <w:rsid w:val="76353BDB"/>
    <w:rsid w:val="763B42FB"/>
    <w:rsid w:val="763F1F92"/>
    <w:rsid w:val="76424474"/>
    <w:rsid w:val="76452780"/>
    <w:rsid w:val="764C7549"/>
    <w:rsid w:val="76690632"/>
    <w:rsid w:val="766B2895"/>
    <w:rsid w:val="767469E2"/>
    <w:rsid w:val="76775F0B"/>
    <w:rsid w:val="76813938"/>
    <w:rsid w:val="76894819"/>
    <w:rsid w:val="76932317"/>
    <w:rsid w:val="769E22B1"/>
    <w:rsid w:val="76B153BA"/>
    <w:rsid w:val="76B160F0"/>
    <w:rsid w:val="76C72CA0"/>
    <w:rsid w:val="76CD530F"/>
    <w:rsid w:val="76D67995"/>
    <w:rsid w:val="76ED0EF4"/>
    <w:rsid w:val="76F2295F"/>
    <w:rsid w:val="76F50A9F"/>
    <w:rsid w:val="76FD2D1D"/>
    <w:rsid w:val="770A2C5B"/>
    <w:rsid w:val="77187F65"/>
    <w:rsid w:val="7729766A"/>
    <w:rsid w:val="77350F1C"/>
    <w:rsid w:val="773A62B8"/>
    <w:rsid w:val="774B3934"/>
    <w:rsid w:val="775F5B59"/>
    <w:rsid w:val="77785586"/>
    <w:rsid w:val="777B5F51"/>
    <w:rsid w:val="777D53E6"/>
    <w:rsid w:val="77847A56"/>
    <w:rsid w:val="778F49BD"/>
    <w:rsid w:val="77966F4C"/>
    <w:rsid w:val="77992314"/>
    <w:rsid w:val="77A75021"/>
    <w:rsid w:val="77B4796D"/>
    <w:rsid w:val="77B8689C"/>
    <w:rsid w:val="77BE64F2"/>
    <w:rsid w:val="77C2510C"/>
    <w:rsid w:val="77C833A2"/>
    <w:rsid w:val="77DE3888"/>
    <w:rsid w:val="78013E80"/>
    <w:rsid w:val="78036043"/>
    <w:rsid w:val="781838FF"/>
    <w:rsid w:val="781B3886"/>
    <w:rsid w:val="781D4587"/>
    <w:rsid w:val="78347B12"/>
    <w:rsid w:val="78375EBD"/>
    <w:rsid w:val="786E6CFE"/>
    <w:rsid w:val="7879736A"/>
    <w:rsid w:val="7888219B"/>
    <w:rsid w:val="788908C8"/>
    <w:rsid w:val="78B70432"/>
    <w:rsid w:val="78BC539D"/>
    <w:rsid w:val="78BD19C3"/>
    <w:rsid w:val="78C134B0"/>
    <w:rsid w:val="78D97F0E"/>
    <w:rsid w:val="78DA009A"/>
    <w:rsid w:val="78DC2FA9"/>
    <w:rsid w:val="78F40C87"/>
    <w:rsid w:val="78FC7FC2"/>
    <w:rsid w:val="791474A8"/>
    <w:rsid w:val="79176206"/>
    <w:rsid w:val="79213934"/>
    <w:rsid w:val="793F2FD4"/>
    <w:rsid w:val="7940572D"/>
    <w:rsid w:val="79461391"/>
    <w:rsid w:val="794B4D74"/>
    <w:rsid w:val="79501475"/>
    <w:rsid w:val="795A5499"/>
    <w:rsid w:val="796D4A8C"/>
    <w:rsid w:val="796E35F2"/>
    <w:rsid w:val="7971290E"/>
    <w:rsid w:val="79757A34"/>
    <w:rsid w:val="79A15149"/>
    <w:rsid w:val="79A37CCA"/>
    <w:rsid w:val="79C24EDF"/>
    <w:rsid w:val="79C95AED"/>
    <w:rsid w:val="79E12ED9"/>
    <w:rsid w:val="79E352FF"/>
    <w:rsid w:val="79E35304"/>
    <w:rsid w:val="79ED6701"/>
    <w:rsid w:val="79FB2D0B"/>
    <w:rsid w:val="7A0F1525"/>
    <w:rsid w:val="7A1420E7"/>
    <w:rsid w:val="7A4D07BA"/>
    <w:rsid w:val="7A5863D3"/>
    <w:rsid w:val="7A64499E"/>
    <w:rsid w:val="7A6656B6"/>
    <w:rsid w:val="7A723F72"/>
    <w:rsid w:val="7A743D9C"/>
    <w:rsid w:val="7A78026F"/>
    <w:rsid w:val="7A803944"/>
    <w:rsid w:val="7A9123B7"/>
    <w:rsid w:val="7A9711EE"/>
    <w:rsid w:val="7A9754FC"/>
    <w:rsid w:val="7A9C3E5C"/>
    <w:rsid w:val="7AA952CF"/>
    <w:rsid w:val="7AC9192D"/>
    <w:rsid w:val="7ACD2D7F"/>
    <w:rsid w:val="7AD27B42"/>
    <w:rsid w:val="7AF62432"/>
    <w:rsid w:val="7AFE18D8"/>
    <w:rsid w:val="7B112635"/>
    <w:rsid w:val="7B18546A"/>
    <w:rsid w:val="7B214978"/>
    <w:rsid w:val="7B237528"/>
    <w:rsid w:val="7B247E50"/>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EB7F7C"/>
    <w:rsid w:val="7BF11348"/>
    <w:rsid w:val="7BF30813"/>
    <w:rsid w:val="7C2F6A80"/>
    <w:rsid w:val="7C5D7259"/>
    <w:rsid w:val="7C610C91"/>
    <w:rsid w:val="7C613AEC"/>
    <w:rsid w:val="7C675F92"/>
    <w:rsid w:val="7C77425F"/>
    <w:rsid w:val="7C815D2A"/>
    <w:rsid w:val="7C831756"/>
    <w:rsid w:val="7C97070B"/>
    <w:rsid w:val="7CB62523"/>
    <w:rsid w:val="7CD11CF7"/>
    <w:rsid w:val="7CE70935"/>
    <w:rsid w:val="7CF84A31"/>
    <w:rsid w:val="7CFC44C2"/>
    <w:rsid w:val="7CFD061D"/>
    <w:rsid w:val="7D007B5E"/>
    <w:rsid w:val="7D013B39"/>
    <w:rsid w:val="7D0826CA"/>
    <w:rsid w:val="7D0C0809"/>
    <w:rsid w:val="7D130509"/>
    <w:rsid w:val="7D1946C0"/>
    <w:rsid w:val="7D2A5CCB"/>
    <w:rsid w:val="7D3B5963"/>
    <w:rsid w:val="7D401CAA"/>
    <w:rsid w:val="7D41596A"/>
    <w:rsid w:val="7D4B3EB7"/>
    <w:rsid w:val="7D5B6A59"/>
    <w:rsid w:val="7D64087E"/>
    <w:rsid w:val="7D657DD7"/>
    <w:rsid w:val="7D7F5298"/>
    <w:rsid w:val="7DAB10BD"/>
    <w:rsid w:val="7DD7657D"/>
    <w:rsid w:val="7DE16F8F"/>
    <w:rsid w:val="7DE23DC2"/>
    <w:rsid w:val="7DEE3EFF"/>
    <w:rsid w:val="7DF464FC"/>
    <w:rsid w:val="7DF51A19"/>
    <w:rsid w:val="7DFA44C8"/>
    <w:rsid w:val="7E006A11"/>
    <w:rsid w:val="7E096EBB"/>
    <w:rsid w:val="7E1C55F3"/>
    <w:rsid w:val="7E21795F"/>
    <w:rsid w:val="7E24516C"/>
    <w:rsid w:val="7E347694"/>
    <w:rsid w:val="7E3B5911"/>
    <w:rsid w:val="7E3E0B9D"/>
    <w:rsid w:val="7E4179A7"/>
    <w:rsid w:val="7E495416"/>
    <w:rsid w:val="7E497873"/>
    <w:rsid w:val="7E60501C"/>
    <w:rsid w:val="7E750E81"/>
    <w:rsid w:val="7E7D6387"/>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160CCE"/>
    <w:rsid w:val="7F161A46"/>
    <w:rsid w:val="7F18438A"/>
    <w:rsid w:val="7F33076F"/>
    <w:rsid w:val="7F674851"/>
    <w:rsid w:val="7F681DA6"/>
    <w:rsid w:val="7F6D3D04"/>
    <w:rsid w:val="7F7D40BB"/>
    <w:rsid w:val="7FA069EC"/>
    <w:rsid w:val="7FB666CF"/>
    <w:rsid w:val="7FD97A80"/>
    <w:rsid w:val="7FDA2CD0"/>
    <w:rsid w:val="7FE7626D"/>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3</TotalTime>
  <ScaleCrop>false</ScaleCrop>
  <LinksUpToDate>false</LinksUpToDate>
  <CharactersWithSpaces>2909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